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F24CA" w:rsidRDefault="006500EC" w:rsidP="001071ED">
      <w:pPr>
        <w:tabs>
          <w:tab w:val="left" w:pos="3823"/>
          <w:tab w:val="right" w:pos="9638"/>
        </w:tabs>
        <w:spacing w:before="200"/>
        <w:jc w:val="right"/>
        <w:rPr>
          <w:rFonts w:asciiTheme="majorHAnsi" w:hAnsiTheme="majorHAnsi"/>
          <w:b/>
          <w:sz w:val="36"/>
        </w:rPr>
      </w:pPr>
      <w:r w:rsidRPr="006500EC">
        <w:rPr>
          <w:rFonts w:asciiTheme="majorHAnsi" w:hAnsiTheme="majorHAnsi"/>
          <w:b/>
          <w:noProof/>
          <w:sz w:val="36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0" wp14:anchorId="1B74B2F8" wp14:editId="67029A99">
                <wp:simplePos x="0" y="0"/>
                <wp:positionH relativeFrom="margin">
                  <wp:align>right</wp:align>
                </wp:positionH>
                <wp:positionV relativeFrom="page">
                  <wp:posOffset>2160270</wp:posOffset>
                </wp:positionV>
                <wp:extent cx="6120000" cy="0"/>
                <wp:effectExtent l="0" t="0" r="25400" b="1905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100000</wp14:pctWidth>
                </wp14:sizeRelH>
              </wp:anchor>
            </w:drawing>
          </mc:Choice>
          <mc:Fallback>
            <w:pict>
              <v:line id="Přímá spojnice 6" o:spid="_x0000_s1026" style="position:absolute;z-index:251659264;visibility:visible;mso-wrap-style:square;mso-width-percent:1000;mso-wrap-distance-left:9pt;mso-wrap-distance-top:0;mso-wrap-distance-right:9pt;mso-wrap-distance-bottom:0;mso-position-horizontal:right;mso-position-horizontal-relative:margin;mso-position-vertical:absolute;mso-position-vertical-relative:page;mso-width-percent:1000;mso-width-relative:margin" from="430.7pt,170.1pt" to="912.6pt,17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" o:allowincell="f" o:allowoverlap="f" strokecolor="black [3213]">
                <w10:wrap anchorx="margin" anchory="page"/>
                <w10:anchorlock/>
              </v:line>
            </w:pict>
          </mc:Fallback>
        </mc:AlternateContent>
      </w:r>
      <w:r w:rsidR="00A06595">
        <w:rPr>
          <w:rFonts w:asciiTheme="majorHAnsi" w:hAnsiTheme="majorHAnsi"/>
          <w:b/>
          <w:sz w:val="36"/>
        </w:rPr>
        <w:t>Čestné prohlášení za uchazeče</w:t>
      </w:r>
    </w:p>
    <w:p w:rsidR="00A06595" w:rsidRPr="00172A64" w:rsidRDefault="00172A64" w:rsidP="00172A64">
      <w:pPr>
        <w:spacing w:line="288" w:lineRule="auto"/>
        <w:jc w:val="right"/>
        <w:rPr>
          <w:rFonts w:asciiTheme="majorHAnsi" w:eastAsia="Arial" w:hAnsiTheme="majorHAnsi" w:cs="Arial"/>
        </w:rPr>
      </w:pPr>
      <w:r>
        <w:rPr>
          <w:rFonts w:asciiTheme="majorHAnsi" w:eastAsia="Arial" w:hAnsiTheme="majorHAnsi" w:cs="Arial"/>
        </w:rPr>
        <w:t>Č.</w:t>
      </w:r>
      <w:r w:rsidR="004419A1">
        <w:rPr>
          <w:rFonts w:asciiTheme="majorHAnsi" w:eastAsia="Arial" w:hAnsiTheme="majorHAnsi" w:cs="Arial"/>
        </w:rPr>
        <w:t xml:space="preserve"> </w:t>
      </w:r>
      <w:r>
        <w:rPr>
          <w:rFonts w:asciiTheme="majorHAnsi" w:eastAsia="Arial" w:hAnsiTheme="majorHAnsi" w:cs="Arial"/>
        </w:rPr>
        <w:t>j.: TACR/</w:t>
      </w:r>
      <w:r w:rsidR="00E3663C">
        <w:rPr>
          <w:rFonts w:asciiTheme="majorHAnsi" w:eastAsia="Arial" w:hAnsiTheme="majorHAnsi" w:cs="Arial"/>
        </w:rPr>
        <w:t>2</w:t>
      </w:r>
      <w:r w:rsidR="006F3C64">
        <w:rPr>
          <w:rFonts w:asciiTheme="majorHAnsi" w:eastAsia="Arial" w:hAnsiTheme="majorHAnsi" w:cs="Arial"/>
        </w:rPr>
        <w:t>3</w:t>
      </w:r>
      <w:r w:rsidR="00E3663C">
        <w:rPr>
          <w:rFonts w:asciiTheme="majorHAnsi" w:eastAsia="Arial" w:hAnsiTheme="majorHAnsi" w:cs="Arial"/>
        </w:rPr>
        <w:t>29</w:t>
      </w:r>
      <w:r>
        <w:rPr>
          <w:rFonts w:asciiTheme="majorHAnsi" w:eastAsia="Arial" w:hAnsiTheme="majorHAnsi" w:cs="Arial"/>
        </w:rPr>
        <w:t>/2015</w:t>
      </w:r>
    </w:p>
    <w:p w:rsidR="00A06595" w:rsidRPr="00A06595" w:rsidRDefault="00A06595" w:rsidP="00A06595">
      <w:pPr>
        <w:spacing w:before="240" w:line="360" w:lineRule="auto"/>
        <w:jc w:val="center"/>
        <w:rPr>
          <w:rFonts w:asciiTheme="majorHAnsi" w:hAnsiTheme="majorHAnsi"/>
        </w:rPr>
      </w:pPr>
      <w:r w:rsidRPr="00A06595">
        <w:rPr>
          <w:rFonts w:asciiTheme="majorHAnsi" w:eastAsia="Arial" w:hAnsiTheme="majorHAnsi" w:cs="Arial"/>
          <w:b/>
        </w:rPr>
        <w:t xml:space="preserve">pro </w:t>
      </w:r>
      <w:r w:rsidR="00172A64">
        <w:rPr>
          <w:rFonts w:asciiTheme="majorHAnsi" w:eastAsia="Arial" w:hAnsiTheme="majorHAnsi" w:cs="Arial"/>
          <w:b/>
        </w:rPr>
        <w:t>2</w:t>
      </w:r>
      <w:r w:rsidRPr="00A06595">
        <w:rPr>
          <w:rFonts w:asciiTheme="majorHAnsi" w:eastAsia="Arial" w:hAnsiTheme="majorHAnsi" w:cs="Arial"/>
          <w:b/>
        </w:rPr>
        <w:t xml:space="preserve">. veřejnou soutěž ve výzkumu a vývoji </w:t>
      </w:r>
      <w:r w:rsidR="00172A64" w:rsidRPr="00172A64">
        <w:rPr>
          <w:rFonts w:asciiTheme="majorHAnsi" w:eastAsia="Arial" w:hAnsiTheme="majorHAnsi" w:cs="Arial"/>
          <w:b/>
        </w:rPr>
        <w:t>Program</w:t>
      </w:r>
      <w:r w:rsidR="00172A64">
        <w:rPr>
          <w:rFonts w:asciiTheme="majorHAnsi" w:eastAsia="Arial" w:hAnsiTheme="majorHAnsi" w:cs="Arial"/>
          <w:b/>
        </w:rPr>
        <w:t>u</w:t>
      </w:r>
      <w:r w:rsidR="00172A64" w:rsidRPr="00172A64">
        <w:rPr>
          <w:rFonts w:asciiTheme="majorHAnsi" w:eastAsia="Arial" w:hAnsiTheme="majorHAnsi" w:cs="Arial"/>
          <w:b/>
        </w:rPr>
        <w:t xml:space="preserve"> aplikovaného výzkumu, experimentálního vývoje a inovací GAMA</w:t>
      </w:r>
    </w:p>
    <w:p w:rsidR="00A06595" w:rsidRPr="00A06595" w:rsidRDefault="00A06595" w:rsidP="00A06595">
      <w:pPr>
        <w:spacing w:line="360" w:lineRule="auto"/>
        <w:rPr>
          <w:rFonts w:asciiTheme="majorHAnsi" w:hAnsiTheme="majorHAnsi"/>
        </w:rPr>
      </w:pPr>
      <w:r w:rsidRPr="00A06595">
        <w:rPr>
          <w:rFonts w:asciiTheme="majorHAnsi" w:eastAsia="Arial" w:hAnsiTheme="majorHAnsi" w:cs="Arial"/>
          <w:b/>
        </w:rPr>
        <w:t>I.</w:t>
      </w:r>
      <w:r w:rsidRPr="00A06595">
        <w:rPr>
          <w:rFonts w:asciiTheme="majorHAnsi" w:eastAsia="Arial" w:hAnsiTheme="majorHAnsi" w:cs="Arial"/>
          <w:b/>
        </w:rPr>
        <w:tab/>
      </w:r>
      <w:r w:rsidR="00E3663C">
        <w:rPr>
          <w:rFonts w:asciiTheme="majorHAnsi" w:eastAsia="Arial" w:hAnsiTheme="majorHAnsi" w:cs="Arial"/>
          <w:b/>
        </w:rPr>
        <w:t>Hlavní u</w:t>
      </w:r>
      <w:r w:rsidRPr="00A06595">
        <w:rPr>
          <w:rFonts w:asciiTheme="majorHAnsi" w:eastAsia="Arial" w:hAnsiTheme="majorHAnsi" w:cs="Arial"/>
          <w:b/>
        </w:rPr>
        <w:t>chazeč/další účastník projektu</w:t>
      </w:r>
    </w:p>
    <w:p w:rsidR="00A06595" w:rsidRPr="00A06595" w:rsidRDefault="00A06595" w:rsidP="00A06595">
      <w:pPr>
        <w:spacing w:line="360" w:lineRule="auto"/>
        <w:rPr>
          <w:rFonts w:asciiTheme="majorHAnsi" w:hAnsiTheme="majorHAnsi"/>
        </w:rPr>
      </w:pPr>
      <w:r w:rsidRPr="00A06595">
        <w:rPr>
          <w:rFonts w:asciiTheme="majorHAnsi" w:eastAsia="Arial" w:hAnsiTheme="majorHAnsi" w:cs="Arial"/>
        </w:rPr>
        <w:t xml:space="preserve">Název: </w:t>
      </w:r>
    </w:p>
    <w:p w:rsidR="00A06595" w:rsidRPr="00A06595" w:rsidRDefault="00A06595" w:rsidP="00A06595">
      <w:pPr>
        <w:spacing w:line="360" w:lineRule="auto"/>
        <w:rPr>
          <w:rFonts w:asciiTheme="majorHAnsi" w:hAnsiTheme="majorHAnsi"/>
        </w:rPr>
      </w:pPr>
      <w:r w:rsidRPr="00A06595">
        <w:rPr>
          <w:rFonts w:asciiTheme="majorHAnsi" w:eastAsia="Arial" w:hAnsiTheme="majorHAnsi" w:cs="Arial"/>
        </w:rPr>
        <w:t>Sídlo:</w:t>
      </w:r>
    </w:p>
    <w:p w:rsidR="00A06595" w:rsidRPr="00A06595" w:rsidRDefault="00A06595" w:rsidP="00A06595">
      <w:pPr>
        <w:spacing w:line="360" w:lineRule="auto"/>
        <w:rPr>
          <w:rFonts w:asciiTheme="majorHAnsi" w:hAnsiTheme="majorHAnsi"/>
        </w:rPr>
      </w:pPr>
      <w:r w:rsidRPr="00A06595">
        <w:rPr>
          <w:rFonts w:asciiTheme="majorHAnsi" w:eastAsia="Arial" w:hAnsiTheme="majorHAnsi" w:cs="Arial"/>
        </w:rPr>
        <w:t xml:space="preserve">IČ: </w:t>
      </w:r>
    </w:p>
    <w:p w:rsidR="00A06595" w:rsidRPr="00A06595" w:rsidRDefault="00A06595" w:rsidP="00A06595">
      <w:pPr>
        <w:spacing w:line="360" w:lineRule="auto"/>
        <w:rPr>
          <w:rFonts w:asciiTheme="majorHAnsi" w:hAnsiTheme="majorHAnsi"/>
        </w:rPr>
      </w:pPr>
      <w:r w:rsidRPr="00A06595">
        <w:rPr>
          <w:rFonts w:asciiTheme="majorHAnsi" w:eastAsia="Arial" w:hAnsiTheme="majorHAnsi" w:cs="Arial"/>
        </w:rPr>
        <w:t>Právní forma:</w:t>
      </w:r>
    </w:p>
    <w:p w:rsidR="00A06595" w:rsidRPr="00A06595" w:rsidRDefault="00A06595" w:rsidP="00A06595">
      <w:pPr>
        <w:spacing w:line="360" w:lineRule="auto"/>
        <w:rPr>
          <w:rFonts w:asciiTheme="majorHAnsi" w:hAnsiTheme="majorHAnsi"/>
        </w:rPr>
      </w:pPr>
      <w:r w:rsidRPr="00A06595">
        <w:rPr>
          <w:rFonts w:asciiTheme="majorHAnsi" w:eastAsia="Arial" w:hAnsiTheme="majorHAnsi" w:cs="Arial"/>
        </w:rPr>
        <w:t>zapsán v obchodním rejstříku vedeném u ..........................................v oddílu ..................., vložka..............................</w:t>
      </w:r>
      <w:r w:rsidRPr="00A06595">
        <w:rPr>
          <w:rFonts w:asciiTheme="majorHAnsi" w:eastAsia="Arial" w:hAnsiTheme="majorHAnsi" w:cs="Arial"/>
          <w:vertAlign w:val="superscript"/>
        </w:rPr>
        <w:footnoteReference w:id="1"/>
      </w:r>
    </w:p>
    <w:p w:rsidR="00A06595" w:rsidRPr="00A06595" w:rsidRDefault="00A06595" w:rsidP="00A06595">
      <w:pPr>
        <w:spacing w:line="360" w:lineRule="auto"/>
        <w:rPr>
          <w:rFonts w:asciiTheme="majorHAnsi" w:hAnsiTheme="majorHAnsi"/>
        </w:rPr>
      </w:pPr>
    </w:p>
    <w:p w:rsidR="00A06595" w:rsidRPr="00A06595" w:rsidRDefault="00A06595" w:rsidP="00A06595">
      <w:pPr>
        <w:spacing w:line="360" w:lineRule="auto"/>
        <w:jc w:val="both"/>
        <w:rPr>
          <w:rFonts w:asciiTheme="majorHAnsi" w:hAnsiTheme="majorHAnsi"/>
        </w:rPr>
      </w:pPr>
      <w:r w:rsidRPr="00A06595">
        <w:rPr>
          <w:rFonts w:asciiTheme="majorHAnsi" w:eastAsia="Arial" w:hAnsiTheme="majorHAnsi" w:cs="Arial"/>
          <w:b/>
        </w:rPr>
        <w:t>III.</w:t>
      </w:r>
      <w:r w:rsidRPr="00A06595">
        <w:rPr>
          <w:rFonts w:asciiTheme="majorHAnsi" w:eastAsia="Arial" w:hAnsiTheme="majorHAnsi" w:cs="Arial"/>
          <w:b/>
        </w:rPr>
        <w:tab/>
        <w:t xml:space="preserve">Čestné prohlášení </w:t>
      </w:r>
    </w:p>
    <w:p w:rsidR="00A06595" w:rsidRPr="00A06595" w:rsidRDefault="00A06595" w:rsidP="00A06595">
      <w:pPr>
        <w:spacing w:after="120" w:line="360" w:lineRule="auto"/>
        <w:jc w:val="both"/>
        <w:rPr>
          <w:rFonts w:asciiTheme="majorHAnsi" w:hAnsiTheme="majorHAnsi"/>
        </w:rPr>
      </w:pPr>
      <w:r w:rsidRPr="00A06595">
        <w:rPr>
          <w:rFonts w:asciiTheme="majorHAnsi" w:eastAsia="Arial" w:hAnsiTheme="majorHAnsi" w:cs="Arial"/>
        </w:rPr>
        <w:t>Čestně prohlašuji, že:</w:t>
      </w:r>
    </w:p>
    <w:p w:rsidR="00A06595" w:rsidRPr="00A06595" w:rsidRDefault="00A06595" w:rsidP="00A06595">
      <w:pPr>
        <w:numPr>
          <w:ilvl w:val="0"/>
          <w:numId w:val="1"/>
        </w:numPr>
        <w:spacing w:after="0" w:line="360" w:lineRule="auto"/>
        <w:ind w:left="426" w:hanging="425"/>
        <w:jc w:val="both"/>
        <w:rPr>
          <w:rFonts w:asciiTheme="majorHAnsi" w:eastAsia="Arial" w:hAnsiTheme="majorHAnsi" w:cs="Arial"/>
        </w:rPr>
      </w:pPr>
      <w:r w:rsidRPr="00A06595">
        <w:rPr>
          <w:rFonts w:asciiTheme="majorHAnsi" w:eastAsia="Arial" w:hAnsiTheme="majorHAnsi" w:cs="Arial"/>
        </w:rPr>
        <w:t>uchazeč splňuje všechny podmínky pro typ organizace, kterou deklaruje být, tzn. buď podmínky pro jednu z kategorií podniku dle Nařízení komise</w:t>
      </w:r>
      <w:r w:rsidRPr="00A06595">
        <w:rPr>
          <w:rFonts w:asciiTheme="majorHAnsi" w:eastAsia="Arial" w:hAnsiTheme="majorHAnsi" w:cs="Arial"/>
          <w:vertAlign w:val="superscript"/>
        </w:rPr>
        <w:footnoteReference w:id="2"/>
      </w:r>
      <w:r w:rsidRPr="00A06595">
        <w:rPr>
          <w:rFonts w:asciiTheme="majorHAnsi" w:eastAsia="Arial" w:hAnsiTheme="majorHAnsi" w:cs="Arial"/>
        </w:rPr>
        <w:t xml:space="preserve">, v případě že se do programu hlásí </w:t>
      </w:r>
      <w:r>
        <w:rPr>
          <w:rFonts w:asciiTheme="majorHAnsi" w:eastAsia="Arial" w:hAnsiTheme="majorHAnsi" w:cs="Arial"/>
        </w:rPr>
        <w:br/>
      </w:r>
      <w:r w:rsidRPr="00A06595">
        <w:rPr>
          <w:rFonts w:asciiTheme="majorHAnsi" w:eastAsia="Arial" w:hAnsiTheme="majorHAnsi" w:cs="Arial"/>
        </w:rPr>
        <w:t>jako podnik, nebo splňuje podmínky uvedené v definici výzkumné organizace Rámce pro státní podporu výzkumu, vývoje a inovací, a to v případě že se do programu hlásí jako výzkumná organizace.</w:t>
      </w:r>
    </w:p>
    <w:p w:rsidR="00A06595" w:rsidRPr="00A06595" w:rsidRDefault="00A06595" w:rsidP="00A06595">
      <w:pPr>
        <w:numPr>
          <w:ilvl w:val="0"/>
          <w:numId w:val="1"/>
        </w:numPr>
        <w:spacing w:after="120" w:line="360" w:lineRule="auto"/>
        <w:ind w:left="425" w:hanging="424"/>
        <w:jc w:val="both"/>
        <w:rPr>
          <w:rFonts w:asciiTheme="majorHAnsi" w:eastAsia="Arial" w:hAnsiTheme="majorHAnsi" w:cs="Arial"/>
        </w:rPr>
      </w:pPr>
      <w:r w:rsidRPr="00A06595">
        <w:rPr>
          <w:rFonts w:asciiTheme="majorHAnsi" w:eastAsia="Arial" w:hAnsiTheme="majorHAnsi" w:cs="Arial"/>
        </w:rPr>
        <w:t>v souladu s ustanovením § 18 odst. 2 zákona č. 130/2002 Sb. o podpoře výzkumu, experimentálního vývoje a inovací z veřejných prostředků a o změně některých souvisejících zákonů (zákon o podpoře výzkumu a vývoje) ve znění pozdějších předpisů a článkem 1 odst. 4 písm. a) a c) Nařízení Komise:</w:t>
      </w:r>
    </w:p>
    <w:p w:rsidR="00A06595" w:rsidRPr="00A06595" w:rsidRDefault="00A06595" w:rsidP="00A06595">
      <w:pPr>
        <w:numPr>
          <w:ilvl w:val="0"/>
          <w:numId w:val="2"/>
        </w:numPr>
        <w:spacing w:after="0" w:line="360" w:lineRule="auto"/>
        <w:ind w:left="993" w:hanging="566"/>
        <w:jc w:val="both"/>
        <w:rPr>
          <w:rFonts w:asciiTheme="majorHAnsi" w:eastAsia="Arial" w:hAnsiTheme="majorHAnsi" w:cs="Arial"/>
        </w:rPr>
      </w:pPr>
      <w:r w:rsidRPr="00A06595">
        <w:rPr>
          <w:rFonts w:asciiTheme="majorHAnsi" w:eastAsia="Arial" w:hAnsiTheme="majorHAnsi" w:cs="Arial"/>
        </w:rPr>
        <w:lastRenderedPageBreak/>
        <w:t xml:space="preserve">uchazeč má příslušné oprávnění k činnosti </w:t>
      </w:r>
      <w:r w:rsidRPr="004419A1">
        <w:rPr>
          <w:rFonts w:asciiTheme="majorHAnsi" w:eastAsia="Arial" w:hAnsiTheme="majorHAnsi" w:cs="Arial"/>
        </w:rPr>
        <w:t xml:space="preserve">ve smyslu § 18 odst. 2 písm. b) zákona </w:t>
      </w:r>
      <w:r w:rsidRPr="004419A1">
        <w:rPr>
          <w:rFonts w:asciiTheme="majorHAnsi" w:eastAsia="Arial" w:hAnsiTheme="majorHAnsi" w:cs="Arial"/>
        </w:rPr>
        <w:br/>
        <w:t>č. 130/2002 Sb. o podpoře výzkumu, experimentálního vývoje a inovací z veřejných prostředků a o změně některých souvisejících zákonů (zákon o podpoře výzkumu a vývoje) ve znění pozdějších předpisů,</w:t>
      </w:r>
      <w:r w:rsidRPr="00A06595">
        <w:rPr>
          <w:rFonts w:asciiTheme="majorHAnsi" w:eastAsia="Arial" w:hAnsiTheme="majorHAnsi" w:cs="Arial"/>
        </w:rPr>
        <w:t xml:space="preserve"> je-li vyžadováno zvláštním právním předpisem,</w:t>
      </w:r>
    </w:p>
    <w:p w:rsidR="00A06595" w:rsidRPr="00A06595" w:rsidRDefault="00A06595" w:rsidP="00A06595">
      <w:pPr>
        <w:numPr>
          <w:ilvl w:val="0"/>
          <w:numId w:val="2"/>
        </w:numPr>
        <w:spacing w:after="0" w:line="360" w:lineRule="auto"/>
        <w:ind w:left="993" w:hanging="566"/>
        <w:jc w:val="both"/>
        <w:rPr>
          <w:rFonts w:asciiTheme="majorHAnsi" w:eastAsia="Arial" w:hAnsiTheme="majorHAnsi" w:cs="Arial"/>
        </w:rPr>
      </w:pPr>
      <w:r w:rsidRPr="00A06595">
        <w:rPr>
          <w:rFonts w:asciiTheme="majorHAnsi" w:eastAsia="Arial" w:hAnsiTheme="majorHAnsi" w:cs="Arial"/>
        </w:rPr>
        <w:t xml:space="preserve">uchazeč nepodal návrh na povolení vyrovnání, nebo vůči němu nebyl podán návrh </w:t>
      </w:r>
      <w:r>
        <w:rPr>
          <w:rFonts w:asciiTheme="majorHAnsi" w:eastAsia="Arial" w:hAnsiTheme="majorHAnsi" w:cs="Arial"/>
        </w:rPr>
        <w:br/>
      </w:r>
      <w:r w:rsidRPr="00A06595">
        <w:rPr>
          <w:rFonts w:asciiTheme="majorHAnsi" w:eastAsia="Arial" w:hAnsiTheme="majorHAnsi" w:cs="Arial"/>
        </w:rPr>
        <w:t>na prohlášení konkursu na jeho majetek, anebo nebyl zamítnut návrh na prohlášení konkursu pro nedostatek jeho majetku,</w:t>
      </w:r>
    </w:p>
    <w:p w:rsidR="00A06595" w:rsidRPr="00A06595" w:rsidRDefault="00A06595" w:rsidP="00A06595">
      <w:pPr>
        <w:numPr>
          <w:ilvl w:val="0"/>
          <w:numId w:val="2"/>
        </w:numPr>
        <w:spacing w:after="0" w:line="360" w:lineRule="auto"/>
        <w:ind w:left="993" w:hanging="566"/>
        <w:jc w:val="both"/>
        <w:rPr>
          <w:rFonts w:asciiTheme="majorHAnsi" w:eastAsia="Arial" w:hAnsiTheme="majorHAnsi" w:cs="Arial"/>
        </w:rPr>
      </w:pPr>
      <w:r w:rsidRPr="00A06595">
        <w:rPr>
          <w:rFonts w:asciiTheme="majorHAnsi" w:eastAsia="Arial" w:hAnsiTheme="majorHAnsi" w:cs="Arial"/>
        </w:rPr>
        <w:t xml:space="preserve">uchazeč není v likvidaci a jeho úpadek nebo hrozící úpadek není řešen v insolvenčním řízení, </w:t>
      </w:r>
    </w:p>
    <w:p w:rsidR="00A06595" w:rsidRPr="00A06595" w:rsidRDefault="00A06595" w:rsidP="00A06595">
      <w:pPr>
        <w:numPr>
          <w:ilvl w:val="0"/>
          <w:numId w:val="2"/>
        </w:numPr>
        <w:spacing w:after="0" w:line="360" w:lineRule="auto"/>
        <w:ind w:left="993" w:hanging="566"/>
        <w:jc w:val="both"/>
        <w:rPr>
          <w:rFonts w:asciiTheme="majorHAnsi" w:eastAsia="Arial" w:hAnsiTheme="majorHAnsi" w:cs="Arial"/>
        </w:rPr>
      </w:pPr>
      <w:r w:rsidRPr="00A06595">
        <w:rPr>
          <w:rFonts w:asciiTheme="majorHAnsi" w:eastAsia="Arial" w:hAnsiTheme="majorHAnsi" w:cs="Arial"/>
        </w:rPr>
        <w:t>uchazeč má vypořádány splatné závazky ve vztahu ke státnímu rozpočtu nebo rozpočtu územního samosprávného celku a další splatné závazky vůči státu, státnímu fondu, zdravotní pojišťovně nebo České správě sociálního zabezpečení,</w:t>
      </w:r>
    </w:p>
    <w:p w:rsidR="00A06595" w:rsidRPr="004419A1" w:rsidRDefault="00A06595" w:rsidP="00A06595">
      <w:pPr>
        <w:numPr>
          <w:ilvl w:val="0"/>
          <w:numId w:val="2"/>
        </w:numPr>
        <w:spacing w:after="0" w:line="360" w:lineRule="auto"/>
        <w:ind w:left="993" w:hanging="566"/>
        <w:jc w:val="both"/>
        <w:rPr>
          <w:rFonts w:asciiTheme="majorHAnsi" w:eastAsia="Arial" w:hAnsiTheme="majorHAnsi" w:cs="Arial"/>
        </w:rPr>
      </w:pPr>
      <w:r w:rsidRPr="004419A1">
        <w:rPr>
          <w:rFonts w:asciiTheme="majorHAnsi" w:eastAsia="Arial" w:hAnsiTheme="majorHAnsi" w:cs="Arial"/>
        </w:rPr>
        <w:t xml:space="preserve">žádný z členů statutárního orgánu nebyl pravomocně odsouzen pro trestný čin, jehož skutková podstata souvisí s předmětem podnikání uchazeče, nebo pro trestný čin hospodářský nebo trestný čin proti majetku, nebo se na něj tak podle zákona hledí, </w:t>
      </w:r>
      <w:r w:rsidRPr="004419A1">
        <w:rPr>
          <w:rFonts w:asciiTheme="majorHAnsi" w:eastAsia="Arial" w:hAnsiTheme="majorHAnsi" w:cs="Arial"/>
        </w:rPr>
        <w:br/>
        <w:t xml:space="preserve">a je-li právnickou osobou, nebyl pravomocně odsouzen pro trestný čin, jehož skutková podstata souvisí s předmětem podnikání (činnosti) nebo pro trestný čin hospodářský, </w:t>
      </w:r>
      <w:r w:rsidRPr="004419A1">
        <w:rPr>
          <w:rFonts w:asciiTheme="majorHAnsi" w:eastAsia="Arial" w:hAnsiTheme="majorHAnsi" w:cs="Arial"/>
        </w:rPr>
        <w:br/>
        <w:t>nebo trestný čin proti majetku, nebo se na něj tak podle zákona hledí,</w:t>
      </w:r>
    </w:p>
    <w:p w:rsidR="00A06595" w:rsidRPr="00A06595" w:rsidRDefault="00A06595" w:rsidP="00A06595">
      <w:pPr>
        <w:numPr>
          <w:ilvl w:val="0"/>
          <w:numId w:val="2"/>
        </w:numPr>
        <w:spacing w:after="0" w:line="360" w:lineRule="auto"/>
        <w:ind w:left="993" w:hanging="566"/>
        <w:jc w:val="both"/>
        <w:rPr>
          <w:rFonts w:asciiTheme="majorHAnsi" w:eastAsia="Arial" w:hAnsiTheme="majorHAnsi" w:cs="Arial"/>
        </w:rPr>
      </w:pPr>
      <w:r w:rsidRPr="00A06595">
        <w:rPr>
          <w:rFonts w:asciiTheme="majorHAnsi" w:eastAsia="Arial" w:hAnsiTheme="majorHAnsi" w:cs="Arial"/>
        </w:rPr>
        <w:t xml:space="preserve">žádný z členů statutárního orgánu nebyl v posledních třech letech disciplinárně potrestán za výkon odborné činnosti související s předmětem veřejné soutěže ve výzkumu, vývoji </w:t>
      </w:r>
      <w:r>
        <w:rPr>
          <w:rFonts w:asciiTheme="majorHAnsi" w:eastAsia="Arial" w:hAnsiTheme="majorHAnsi" w:cs="Arial"/>
        </w:rPr>
        <w:br/>
      </w:r>
      <w:r w:rsidRPr="00A06595">
        <w:rPr>
          <w:rFonts w:asciiTheme="majorHAnsi" w:eastAsia="Arial" w:hAnsiTheme="majorHAnsi" w:cs="Arial"/>
        </w:rPr>
        <w:t>a inovacích,</w:t>
      </w:r>
    </w:p>
    <w:p w:rsidR="00A06595" w:rsidRPr="00A06595" w:rsidRDefault="00A06595" w:rsidP="00A06595">
      <w:pPr>
        <w:numPr>
          <w:ilvl w:val="0"/>
          <w:numId w:val="2"/>
        </w:numPr>
        <w:spacing w:after="0" w:line="360" w:lineRule="auto"/>
        <w:ind w:left="993" w:hanging="566"/>
        <w:jc w:val="both"/>
        <w:rPr>
          <w:rFonts w:asciiTheme="majorHAnsi" w:eastAsia="Arial" w:hAnsiTheme="majorHAnsi" w:cs="Arial"/>
        </w:rPr>
      </w:pPr>
      <w:bookmarkStart w:id="1" w:name="h.gjdgxs" w:colFirst="0" w:colLast="0"/>
      <w:bookmarkEnd w:id="1"/>
      <w:r w:rsidRPr="00A06595">
        <w:rPr>
          <w:rFonts w:asciiTheme="majorHAnsi" w:eastAsia="Arial" w:hAnsiTheme="majorHAnsi" w:cs="Arial"/>
        </w:rPr>
        <w:t>žádný z členů statutárního orgánu není v pracovněprávním ani jiném obdobném poměru k poskytovateli,</w:t>
      </w:r>
    </w:p>
    <w:p w:rsidR="00A06595" w:rsidRPr="00A06595" w:rsidRDefault="00A06595" w:rsidP="00A06595">
      <w:pPr>
        <w:numPr>
          <w:ilvl w:val="0"/>
          <w:numId w:val="2"/>
        </w:numPr>
        <w:spacing w:after="0" w:line="360" w:lineRule="auto"/>
        <w:ind w:left="993" w:hanging="566"/>
        <w:jc w:val="both"/>
        <w:rPr>
          <w:rFonts w:asciiTheme="majorHAnsi" w:eastAsia="Arial" w:hAnsiTheme="majorHAnsi" w:cs="Arial"/>
        </w:rPr>
      </w:pPr>
      <w:r w:rsidRPr="00A06595">
        <w:rPr>
          <w:rFonts w:asciiTheme="majorHAnsi" w:eastAsia="Arial" w:hAnsiTheme="majorHAnsi" w:cs="Arial"/>
        </w:rPr>
        <w:t>na uchazeče nebyl vydán inkasní příkaz po předcházejícím rozhodnutí Komise prohlašujícím, že podpora je protiprávní a neslučitelná se společným trhem,</w:t>
      </w:r>
    </w:p>
    <w:p w:rsidR="00A06595" w:rsidRPr="00A06595" w:rsidRDefault="00A06595" w:rsidP="00A06595">
      <w:pPr>
        <w:numPr>
          <w:ilvl w:val="0"/>
          <w:numId w:val="2"/>
        </w:numPr>
        <w:spacing w:after="0" w:line="360" w:lineRule="auto"/>
        <w:ind w:left="993" w:hanging="566"/>
        <w:jc w:val="both"/>
        <w:rPr>
          <w:rFonts w:asciiTheme="majorHAnsi" w:eastAsia="Arial" w:hAnsiTheme="majorHAnsi" w:cs="Arial"/>
        </w:rPr>
      </w:pPr>
      <w:r w:rsidRPr="00A06595">
        <w:rPr>
          <w:rFonts w:asciiTheme="majorHAnsi" w:eastAsia="Arial" w:hAnsiTheme="majorHAnsi" w:cs="Arial"/>
        </w:rPr>
        <w:t>uchazeč není podnikem v obtížích.</w:t>
      </w:r>
    </w:p>
    <w:p w:rsidR="00A06595" w:rsidRPr="00A06595" w:rsidRDefault="00A06595" w:rsidP="00A06595">
      <w:pPr>
        <w:rPr>
          <w:rFonts w:asciiTheme="majorHAnsi" w:hAnsiTheme="majorHAnsi"/>
        </w:rPr>
      </w:pPr>
    </w:p>
    <w:p w:rsidR="00A06595" w:rsidRPr="00A06595" w:rsidRDefault="00A06595" w:rsidP="00F941A8">
      <w:pPr>
        <w:numPr>
          <w:ilvl w:val="0"/>
          <w:numId w:val="3"/>
        </w:numPr>
        <w:spacing w:after="0" w:line="360" w:lineRule="auto"/>
        <w:ind w:left="426" w:hanging="359"/>
        <w:contextualSpacing/>
        <w:jc w:val="both"/>
        <w:rPr>
          <w:rFonts w:asciiTheme="majorHAnsi" w:eastAsia="Arial" w:hAnsiTheme="majorHAnsi" w:cs="Arial"/>
        </w:rPr>
      </w:pPr>
      <w:r w:rsidRPr="00A06595">
        <w:rPr>
          <w:rFonts w:asciiTheme="majorHAnsi" w:eastAsia="Arial" w:hAnsiTheme="majorHAnsi" w:cs="Arial"/>
        </w:rPr>
        <w:t xml:space="preserve">V rámci prokázání způsobilosti jsou předloženy výpisy z Rejstříku trestů, popř. požadované údaje k vyžádání výpisů poskytovatelem, uchazeče i všech členů jeho statutárního orgánu </w:t>
      </w:r>
      <w:r>
        <w:rPr>
          <w:rFonts w:asciiTheme="majorHAnsi" w:eastAsia="Arial" w:hAnsiTheme="majorHAnsi" w:cs="Arial"/>
        </w:rPr>
        <w:br/>
      </w:r>
      <w:r w:rsidRPr="00A06595">
        <w:rPr>
          <w:rFonts w:asciiTheme="majorHAnsi" w:eastAsia="Arial" w:hAnsiTheme="majorHAnsi" w:cs="Arial"/>
        </w:rPr>
        <w:t>a všech členů statutárních orgánů těch jeho členů statutárního orgánu, kteří jsou právnickou osobou, a to ke dni prokázání způsobilosti.</w:t>
      </w:r>
    </w:p>
    <w:p w:rsidR="00A06595" w:rsidRPr="00A06595" w:rsidRDefault="00A06595" w:rsidP="00A06595">
      <w:pPr>
        <w:spacing w:line="360" w:lineRule="auto"/>
        <w:ind w:left="400"/>
        <w:jc w:val="both"/>
        <w:rPr>
          <w:rFonts w:asciiTheme="majorHAnsi" w:hAnsiTheme="majorHAnsi"/>
        </w:rPr>
      </w:pPr>
      <w:r w:rsidRPr="00A06595">
        <w:rPr>
          <w:rFonts w:asciiTheme="majorHAnsi" w:eastAsia="Arial" w:hAnsiTheme="majorHAnsi" w:cs="Arial"/>
        </w:rPr>
        <w:t xml:space="preserve"> </w:t>
      </w:r>
    </w:p>
    <w:p w:rsidR="00A06595" w:rsidRPr="00A06595" w:rsidRDefault="00A06595" w:rsidP="00A06595">
      <w:pPr>
        <w:spacing w:line="360" w:lineRule="auto"/>
        <w:ind w:left="400" w:hanging="439"/>
        <w:jc w:val="both"/>
        <w:rPr>
          <w:rFonts w:asciiTheme="majorHAnsi" w:hAnsiTheme="majorHAnsi"/>
        </w:rPr>
      </w:pPr>
      <w:r w:rsidRPr="00A06595">
        <w:rPr>
          <w:rFonts w:asciiTheme="majorHAnsi" w:eastAsia="Arial" w:hAnsiTheme="majorHAnsi" w:cs="Arial"/>
        </w:rPr>
        <w:lastRenderedPageBreak/>
        <w:t>4.</w:t>
      </w:r>
      <w:r w:rsidRPr="00A06595">
        <w:rPr>
          <w:rFonts w:asciiTheme="majorHAnsi" w:hAnsiTheme="majorHAnsi"/>
          <w:sz w:val="14"/>
        </w:rPr>
        <w:t xml:space="preserve">  </w:t>
      </w:r>
      <w:r w:rsidRPr="00A06595">
        <w:rPr>
          <w:rFonts w:asciiTheme="majorHAnsi" w:hAnsiTheme="majorHAnsi"/>
          <w:sz w:val="14"/>
        </w:rPr>
        <w:tab/>
      </w:r>
      <w:r w:rsidRPr="00A06595">
        <w:rPr>
          <w:rFonts w:asciiTheme="majorHAnsi" w:eastAsia="Arial" w:hAnsiTheme="majorHAnsi" w:cs="Arial"/>
        </w:rPr>
        <w:t>Uchazeč prohlašuje, že všechny údaje uvedené v návrhu projektu a dokumenty předané poskytovateli spolu s návrhem projektu jsou v souladu se skutečným stavem ke dni podání návrhu projektu.</w:t>
      </w:r>
    </w:p>
    <w:p w:rsidR="00172A64" w:rsidRPr="001071ED" w:rsidRDefault="00172A64" w:rsidP="00A06595">
      <w:pPr>
        <w:jc w:val="both"/>
        <w:rPr>
          <w:rFonts w:asciiTheme="majorHAnsi" w:hAnsiTheme="majorHAnsi"/>
        </w:rPr>
      </w:pPr>
    </w:p>
    <w:sectPr w:rsidR="00172A64" w:rsidRPr="001071ED" w:rsidSect="00A06595">
      <w:headerReference w:type="default" r:id="rId9"/>
      <w:footerReference w:type="default" r:id="rId10"/>
      <w:pgSz w:w="11906" w:h="16838"/>
      <w:pgMar w:top="1134" w:right="1134" w:bottom="1134" w:left="1134" w:header="2551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B52" w:rsidRDefault="00416B52" w:rsidP="006500EC">
      <w:pPr>
        <w:spacing w:after="0" w:line="240" w:lineRule="auto"/>
      </w:pPr>
      <w:r>
        <w:separator/>
      </w:r>
    </w:p>
  </w:endnote>
  <w:endnote w:type="continuationSeparator" w:id="0">
    <w:p w:rsidR="00416B52" w:rsidRDefault="00416B52" w:rsidP="00650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452" w:rsidRPr="001071ED" w:rsidRDefault="001071ED" w:rsidP="001071ED">
    <w:pPr>
      <w:pStyle w:val="Zpat1"/>
    </w:pPr>
    <w:r w:rsidRPr="001071ED">
      <w:fldChar w:fldCharType="begin"/>
    </w:r>
    <w:r w:rsidRPr="001071ED">
      <w:instrText xml:space="preserve"> PAGE   \* MERGEFORMAT </w:instrText>
    </w:r>
    <w:r w:rsidRPr="001071ED">
      <w:fldChar w:fldCharType="separate"/>
    </w:r>
    <w:r w:rsidR="009838A3">
      <w:rPr>
        <w:noProof/>
      </w:rPr>
      <w:t>1</w:t>
    </w:r>
    <w:r w:rsidRPr="001071ED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B52" w:rsidRDefault="00416B52" w:rsidP="006500EC">
      <w:pPr>
        <w:spacing w:after="0" w:line="240" w:lineRule="auto"/>
      </w:pPr>
      <w:r>
        <w:separator/>
      </w:r>
    </w:p>
  </w:footnote>
  <w:footnote w:type="continuationSeparator" w:id="0">
    <w:p w:rsidR="00416B52" w:rsidRDefault="00416B52" w:rsidP="006500EC">
      <w:pPr>
        <w:spacing w:after="0" w:line="240" w:lineRule="auto"/>
      </w:pPr>
      <w:r>
        <w:continuationSeparator/>
      </w:r>
    </w:p>
  </w:footnote>
  <w:footnote w:id="1">
    <w:p w:rsidR="00A06595" w:rsidRPr="00DE5102" w:rsidRDefault="00A06595" w:rsidP="00A06595">
      <w:pPr>
        <w:jc w:val="both"/>
        <w:rPr>
          <w:rFonts w:asciiTheme="majorHAnsi" w:hAnsiTheme="majorHAnsi"/>
        </w:rPr>
      </w:pPr>
      <w:r w:rsidRPr="00DE5102">
        <w:rPr>
          <w:rFonts w:asciiTheme="majorHAnsi" w:hAnsiTheme="majorHAnsi"/>
          <w:vertAlign w:val="superscript"/>
        </w:rPr>
        <w:footnoteRef/>
      </w:r>
      <w:r w:rsidRPr="00DE5102">
        <w:rPr>
          <w:rFonts w:asciiTheme="majorHAnsi" w:eastAsia="Times New Roman" w:hAnsiTheme="majorHAnsi" w:cs="Times New Roman"/>
          <w:sz w:val="20"/>
        </w:rPr>
        <w:t xml:space="preserve"> </w:t>
      </w:r>
      <w:r w:rsidRPr="00DE5102">
        <w:rPr>
          <w:rFonts w:asciiTheme="majorHAnsi" w:eastAsia="Arial" w:hAnsiTheme="majorHAnsi" w:cs="Arial"/>
          <w:sz w:val="20"/>
        </w:rPr>
        <w:t>Pouze u uchazečů zapsaných v Obchodním rejstříku.</w:t>
      </w:r>
    </w:p>
  </w:footnote>
  <w:footnote w:id="2">
    <w:p w:rsidR="00A06595" w:rsidRDefault="00A06595" w:rsidP="00A06595">
      <w:pPr>
        <w:jc w:val="both"/>
      </w:pPr>
      <w:r w:rsidRPr="00DE5102">
        <w:rPr>
          <w:rFonts w:asciiTheme="majorHAnsi" w:hAnsiTheme="majorHAnsi"/>
          <w:vertAlign w:val="superscript"/>
        </w:rPr>
        <w:footnoteRef/>
      </w:r>
      <w:r w:rsidRPr="00DE5102">
        <w:rPr>
          <w:rFonts w:asciiTheme="majorHAnsi" w:eastAsia="Times New Roman" w:hAnsiTheme="majorHAnsi" w:cs="Times New Roman"/>
          <w:sz w:val="20"/>
        </w:rPr>
        <w:t xml:space="preserve"> </w:t>
      </w:r>
      <w:r w:rsidRPr="00DE5102">
        <w:rPr>
          <w:rFonts w:asciiTheme="majorHAnsi" w:eastAsia="Arial" w:hAnsiTheme="majorHAnsi" w:cs="Arial"/>
          <w:sz w:val="20"/>
        </w:rPr>
        <w:t>Nařízení Komise (EU) č. 651/2014 ze dne 17. června 2014, kterým se v souladu s články 107 a 108 Smlouvy prohlašují určité kategorie podpory za slučitelné s vnitřním trhem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0EC" w:rsidRDefault="00632AA8">
    <w:pPr>
      <w:pStyle w:val="Zhlav"/>
    </w:pPr>
    <w:r>
      <w:rPr>
        <w:noProof/>
        <w:sz w:val="12"/>
        <w:lang w:eastAsia="cs-CZ"/>
      </w:rPr>
      <w:drawing>
        <wp:anchor distT="0" distB="0" distL="114300" distR="114300" simplePos="0" relativeHeight="251663360" behindDoc="1" locked="1" layoutInCell="0" allowOverlap="0" wp14:anchorId="1B6E5E67" wp14:editId="7428522F">
          <wp:simplePos x="721895" y="1620253"/>
          <wp:positionH relativeFrom="page">
            <wp:align>left</wp:align>
          </wp:positionH>
          <wp:positionV relativeFrom="page">
            <wp:align>top</wp:align>
          </wp:positionV>
          <wp:extent cx="1440000" cy="1440000"/>
          <wp:effectExtent l="0" t="0" r="8255" b="8255"/>
          <wp:wrapNone/>
          <wp:docPr id="47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528A">
      <w:rPr>
        <w:noProof/>
        <w:sz w:val="12"/>
        <w:lang w:eastAsia="cs-CZ"/>
      </w:rPr>
      <w:drawing>
        <wp:anchor distT="0" distB="0" distL="114300" distR="114300" simplePos="0" relativeHeight="251661312" behindDoc="1" locked="1" layoutInCell="0" allowOverlap="0" wp14:anchorId="49E5BAD4" wp14:editId="0D3D241F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2496916" cy="1008000"/>
          <wp:effectExtent l="0" t="0" r="0" b="1905"/>
          <wp:wrapNone/>
          <wp:docPr id="48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fa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96916" cy="100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A765D"/>
    <w:multiLevelType w:val="multilevel"/>
    <w:tmpl w:val="50B49E52"/>
    <w:lvl w:ilvl="0">
      <w:start w:val="3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0FF90799"/>
    <w:multiLevelType w:val="multilevel"/>
    <w:tmpl w:val="3F089588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645268F0"/>
    <w:multiLevelType w:val="multilevel"/>
    <w:tmpl w:val="3D3A3518"/>
    <w:lvl w:ilvl="0">
      <w:start w:val="1"/>
      <w:numFmt w:val="decimal"/>
      <w:lvlText w:val="%1."/>
      <w:lvlJc w:val="left"/>
      <w:pPr>
        <w:ind w:left="780" w:firstLine="420"/>
      </w:pPr>
    </w:lvl>
    <w:lvl w:ilvl="1">
      <w:start w:val="1"/>
      <w:numFmt w:val="lowerLetter"/>
      <w:lvlText w:val="%2."/>
      <w:lvlJc w:val="left"/>
      <w:pPr>
        <w:ind w:left="1500" w:firstLine="1140"/>
      </w:pPr>
    </w:lvl>
    <w:lvl w:ilvl="2">
      <w:start w:val="1"/>
      <w:numFmt w:val="lowerRoman"/>
      <w:lvlText w:val="%3."/>
      <w:lvlJc w:val="right"/>
      <w:pPr>
        <w:ind w:left="2220" w:firstLine="2040"/>
      </w:pPr>
    </w:lvl>
    <w:lvl w:ilvl="3">
      <w:start w:val="1"/>
      <w:numFmt w:val="decimal"/>
      <w:lvlText w:val="%4."/>
      <w:lvlJc w:val="left"/>
      <w:pPr>
        <w:ind w:left="2940" w:firstLine="2580"/>
      </w:pPr>
    </w:lvl>
    <w:lvl w:ilvl="4">
      <w:start w:val="1"/>
      <w:numFmt w:val="lowerLetter"/>
      <w:lvlText w:val="%5."/>
      <w:lvlJc w:val="left"/>
      <w:pPr>
        <w:ind w:left="3660" w:firstLine="3300"/>
      </w:pPr>
    </w:lvl>
    <w:lvl w:ilvl="5">
      <w:start w:val="1"/>
      <w:numFmt w:val="lowerRoman"/>
      <w:lvlText w:val="%6."/>
      <w:lvlJc w:val="right"/>
      <w:pPr>
        <w:ind w:left="4380" w:firstLine="4200"/>
      </w:pPr>
    </w:lvl>
    <w:lvl w:ilvl="6">
      <w:start w:val="1"/>
      <w:numFmt w:val="decimal"/>
      <w:lvlText w:val="%7."/>
      <w:lvlJc w:val="left"/>
      <w:pPr>
        <w:ind w:left="5100" w:firstLine="4740"/>
      </w:pPr>
    </w:lvl>
    <w:lvl w:ilvl="7">
      <w:start w:val="1"/>
      <w:numFmt w:val="lowerLetter"/>
      <w:lvlText w:val="%8."/>
      <w:lvlJc w:val="left"/>
      <w:pPr>
        <w:ind w:left="5820" w:firstLine="5460"/>
      </w:pPr>
    </w:lvl>
    <w:lvl w:ilvl="8">
      <w:start w:val="1"/>
      <w:numFmt w:val="lowerRoman"/>
      <w:lvlText w:val="%9."/>
      <w:lvlJc w:val="right"/>
      <w:pPr>
        <w:ind w:left="6540" w:firstLine="6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0EC"/>
    <w:rsid w:val="000014DE"/>
    <w:rsid w:val="00003DCD"/>
    <w:rsid w:val="00012452"/>
    <w:rsid w:val="000154B2"/>
    <w:rsid w:val="000200DC"/>
    <w:rsid w:val="00021D0F"/>
    <w:rsid w:val="00022C8F"/>
    <w:rsid w:val="00022FC2"/>
    <w:rsid w:val="00023FBC"/>
    <w:rsid w:val="0002478D"/>
    <w:rsid w:val="00026403"/>
    <w:rsid w:val="000330D0"/>
    <w:rsid w:val="00034946"/>
    <w:rsid w:val="00037D12"/>
    <w:rsid w:val="00037F0A"/>
    <w:rsid w:val="00051D6C"/>
    <w:rsid w:val="00053779"/>
    <w:rsid w:val="00053BC8"/>
    <w:rsid w:val="00055C52"/>
    <w:rsid w:val="000608AA"/>
    <w:rsid w:val="000612BE"/>
    <w:rsid w:val="0006342A"/>
    <w:rsid w:val="00063C09"/>
    <w:rsid w:val="00063FEF"/>
    <w:rsid w:val="000652C9"/>
    <w:rsid w:val="00067914"/>
    <w:rsid w:val="0007112F"/>
    <w:rsid w:val="00076B05"/>
    <w:rsid w:val="000859AF"/>
    <w:rsid w:val="00086890"/>
    <w:rsid w:val="00090E1E"/>
    <w:rsid w:val="00092805"/>
    <w:rsid w:val="00093364"/>
    <w:rsid w:val="0009640D"/>
    <w:rsid w:val="000A34C2"/>
    <w:rsid w:val="000A58D1"/>
    <w:rsid w:val="000B059D"/>
    <w:rsid w:val="000B531A"/>
    <w:rsid w:val="000B662F"/>
    <w:rsid w:val="000C1AA4"/>
    <w:rsid w:val="000C797E"/>
    <w:rsid w:val="000D0758"/>
    <w:rsid w:val="000D684E"/>
    <w:rsid w:val="000D70F4"/>
    <w:rsid w:val="000E1696"/>
    <w:rsid w:val="000E2357"/>
    <w:rsid w:val="000E538D"/>
    <w:rsid w:val="000E6ED7"/>
    <w:rsid w:val="000F3DDB"/>
    <w:rsid w:val="000F65D4"/>
    <w:rsid w:val="00100E23"/>
    <w:rsid w:val="001022A5"/>
    <w:rsid w:val="001071ED"/>
    <w:rsid w:val="00107689"/>
    <w:rsid w:val="0011233B"/>
    <w:rsid w:val="0011437D"/>
    <w:rsid w:val="0012369F"/>
    <w:rsid w:val="0012739B"/>
    <w:rsid w:val="00142AB2"/>
    <w:rsid w:val="001435D5"/>
    <w:rsid w:val="001449DB"/>
    <w:rsid w:val="001471FF"/>
    <w:rsid w:val="0016245F"/>
    <w:rsid w:val="00172A64"/>
    <w:rsid w:val="00175FAB"/>
    <w:rsid w:val="00176E5A"/>
    <w:rsid w:val="001770D5"/>
    <w:rsid w:val="00177C1B"/>
    <w:rsid w:val="00183F2E"/>
    <w:rsid w:val="00184FB0"/>
    <w:rsid w:val="0019065A"/>
    <w:rsid w:val="0019555C"/>
    <w:rsid w:val="00195643"/>
    <w:rsid w:val="00196529"/>
    <w:rsid w:val="001B3C13"/>
    <w:rsid w:val="001B5181"/>
    <w:rsid w:val="001C4928"/>
    <w:rsid w:val="001C5C9E"/>
    <w:rsid w:val="001D050B"/>
    <w:rsid w:val="001D06BA"/>
    <w:rsid w:val="001E0AFB"/>
    <w:rsid w:val="001E44B0"/>
    <w:rsid w:val="00203603"/>
    <w:rsid w:val="00223727"/>
    <w:rsid w:val="002250BC"/>
    <w:rsid w:val="00226BA9"/>
    <w:rsid w:val="00227E40"/>
    <w:rsid w:val="0024205F"/>
    <w:rsid w:val="002420F1"/>
    <w:rsid w:val="0024500F"/>
    <w:rsid w:val="002458FB"/>
    <w:rsid w:val="00251BA0"/>
    <w:rsid w:val="002528A9"/>
    <w:rsid w:val="00262A0E"/>
    <w:rsid w:val="00265074"/>
    <w:rsid w:val="002814BA"/>
    <w:rsid w:val="00284AED"/>
    <w:rsid w:val="00292016"/>
    <w:rsid w:val="002A265B"/>
    <w:rsid w:val="002A3C3C"/>
    <w:rsid w:val="002A4D20"/>
    <w:rsid w:val="002A4E48"/>
    <w:rsid w:val="002B44F6"/>
    <w:rsid w:val="002B7EE6"/>
    <w:rsid w:val="002D21C8"/>
    <w:rsid w:val="002D529C"/>
    <w:rsid w:val="002D580B"/>
    <w:rsid w:val="002D6E36"/>
    <w:rsid w:val="002F006F"/>
    <w:rsid w:val="002F00BC"/>
    <w:rsid w:val="002F16C7"/>
    <w:rsid w:val="002F27A3"/>
    <w:rsid w:val="0031084E"/>
    <w:rsid w:val="003123FB"/>
    <w:rsid w:val="0032159A"/>
    <w:rsid w:val="00324D0B"/>
    <w:rsid w:val="00324EE2"/>
    <w:rsid w:val="00326735"/>
    <w:rsid w:val="00327E8F"/>
    <w:rsid w:val="00330686"/>
    <w:rsid w:val="00336464"/>
    <w:rsid w:val="00336DCA"/>
    <w:rsid w:val="0035518C"/>
    <w:rsid w:val="00361C40"/>
    <w:rsid w:val="003678D6"/>
    <w:rsid w:val="00367BB7"/>
    <w:rsid w:val="00376583"/>
    <w:rsid w:val="00380EE4"/>
    <w:rsid w:val="0038343A"/>
    <w:rsid w:val="00384534"/>
    <w:rsid w:val="0038628E"/>
    <w:rsid w:val="00391463"/>
    <w:rsid w:val="00391983"/>
    <w:rsid w:val="003A01B1"/>
    <w:rsid w:val="003A3605"/>
    <w:rsid w:val="003A3F6A"/>
    <w:rsid w:val="003C0ACD"/>
    <w:rsid w:val="003C40C2"/>
    <w:rsid w:val="003C5054"/>
    <w:rsid w:val="003D2A6F"/>
    <w:rsid w:val="003E27E6"/>
    <w:rsid w:val="003E2F50"/>
    <w:rsid w:val="003E4FC8"/>
    <w:rsid w:val="003F0F16"/>
    <w:rsid w:val="003F1CDE"/>
    <w:rsid w:val="0040553B"/>
    <w:rsid w:val="00407A1F"/>
    <w:rsid w:val="00411CC2"/>
    <w:rsid w:val="00416B52"/>
    <w:rsid w:val="004212F4"/>
    <w:rsid w:val="0042584B"/>
    <w:rsid w:val="004277A4"/>
    <w:rsid w:val="00432CFD"/>
    <w:rsid w:val="00437B95"/>
    <w:rsid w:val="00440321"/>
    <w:rsid w:val="004419A1"/>
    <w:rsid w:val="00455300"/>
    <w:rsid w:val="004569AB"/>
    <w:rsid w:val="00463F3B"/>
    <w:rsid w:val="004723EC"/>
    <w:rsid w:val="00472F23"/>
    <w:rsid w:val="004850D8"/>
    <w:rsid w:val="00490889"/>
    <w:rsid w:val="00493AC0"/>
    <w:rsid w:val="004A4E73"/>
    <w:rsid w:val="004A56C5"/>
    <w:rsid w:val="004B23BC"/>
    <w:rsid w:val="004C3116"/>
    <w:rsid w:val="004C4C7F"/>
    <w:rsid w:val="004C62E6"/>
    <w:rsid w:val="004D0A0E"/>
    <w:rsid w:val="004D4F8C"/>
    <w:rsid w:val="004D5C2F"/>
    <w:rsid w:val="004D5E5A"/>
    <w:rsid w:val="004D60C6"/>
    <w:rsid w:val="004D7F38"/>
    <w:rsid w:val="004E1845"/>
    <w:rsid w:val="004E7604"/>
    <w:rsid w:val="004F5D0B"/>
    <w:rsid w:val="00502D03"/>
    <w:rsid w:val="005052DD"/>
    <w:rsid w:val="0050656F"/>
    <w:rsid w:val="00507B31"/>
    <w:rsid w:val="005256FB"/>
    <w:rsid w:val="0053056F"/>
    <w:rsid w:val="00530BAF"/>
    <w:rsid w:val="00534BAB"/>
    <w:rsid w:val="005409C9"/>
    <w:rsid w:val="00543033"/>
    <w:rsid w:val="00550065"/>
    <w:rsid w:val="005511A4"/>
    <w:rsid w:val="0055201A"/>
    <w:rsid w:val="00552B5C"/>
    <w:rsid w:val="00557839"/>
    <w:rsid w:val="00560D39"/>
    <w:rsid w:val="0056676D"/>
    <w:rsid w:val="0058056F"/>
    <w:rsid w:val="00586165"/>
    <w:rsid w:val="005863E6"/>
    <w:rsid w:val="00592D47"/>
    <w:rsid w:val="005A09B4"/>
    <w:rsid w:val="005A1F37"/>
    <w:rsid w:val="005B2E39"/>
    <w:rsid w:val="005B6A47"/>
    <w:rsid w:val="005D3804"/>
    <w:rsid w:val="005D76FF"/>
    <w:rsid w:val="005E1382"/>
    <w:rsid w:val="005E297A"/>
    <w:rsid w:val="005E56A9"/>
    <w:rsid w:val="005E5A6D"/>
    <w:rsid w:val="005E6BB6"/>
    <w:rsid w:val="005F1B21"/>
    <w:rsid w:val="005F24CA"/>
    <w:rsid w:val="005F53E8"/>
    <w:rsid w:val="00606D02"/>
    <w:rsid w:val="006138D7"/>
    <w:rsid w:val="0061797D"/>
    <w:rsid w:val="00624040"/>
    <w:rsid w:val="00626A1E"/>
    <w:rsid w:val="00632AA8"/>
    <w:rsid w:val="00636FF1"/>
    <w:rsid w:val="00641C5C"/>
    <w:rsid w:val="006500EC"/>
    <w:rsid w:val="00656383"/>
    <w:rsid w:val="00656599"/>
    <w:rsid w:val="00657257"/>
    <w:rsid w:val="00657EC1"/>
    <w:rsid w:val="0066145E"/>
    <w:rsid w:val="0066787A"/>
    <w:rsid w:val="0067145A"/>
    <w:rsid w:val="00674CEC"/>
    <w:rsid w:val="006761C0"/>
    <w:rsid w:val="00677B7E"/>
    <w:rsid w:val="00680AE7"/>
    <w:rsid w:val="00683E16"/>
    <w:rsid w:val="006942D0"/>
    <w:rsid w:val="006971DC"/>
    <w:rsid w:val="006A4507"/>
    <w:rsid w:val="006B4D1B"/>
    <w:rsid w:val="006B5AEF"/>
    <w:rsid w:val="006B7E79"/>
    <w:rsid w:val="006C3F3D"/>
    <w:rsid w:val="006D1D3F"/>
    <w:rsid w:val="006D4887"/>
    <w:rsid w:val="006D5502"/>
    <w:rsid w:val="006D7169"/>
    <w:rsid w:val="006E063B"/>
    <w:rsid w:val="006E34D8"/>
    <w:rsid w:val="006E3995"/>
    <w:rsid w:val="006F0D13"/>
    <w:rsid w:val="006F3C64"/>
    <w:rsid w:val="006F5819"/>
    <w:rsid w:val="006F59C0"/>
    <w:rsid w:val="006F5A45"/>
    <w:rsid w:val="00707638"/>
    <w:rsid w:val="00710083"/>
    <w:rsid w:val="00712310"/>
    <w:rsid w:val="007124EC"/>
    <w:rsid w:val="00727589"/>
    <w:rsid w:val="00733545"/>
    <w:rsid w:val="00736B20"/>
    <w:rsid w:val="00736DC5"/>
    <w:rsid w:val="00740901"/>
    <w:rsid w:val="00743315"/>
    <w:rsid w:val="007457D7"/>
    <w:rsid w:val="00747934"/>
    <w:rsid w:val="00750086"/>
    <w:rsid w:val="0075580A"/>
    <w:rsid w:val="007574F6"/>
    <w:rsid w:val="00761F03"/>
    <w:rsid w:val="00770D67"/>
    <w:rsid w:val="00771313"/>
    <w:rsid w:val="00773353"/>
    <w:rsid w:val="007736AF"/>
    <w:rsid w:val="00773CD0"/>
    <w:rsid w:val="007802BE"/>
    <w:rsid w:val="00781F5E"/>
    <w:rsid w:val="00787B57"/>
    <w:rsid w:val="007916D7"/>
    <w:rsid w:val="00793C0F"/>
    <w:rsid w:val="007A2064"/>
    <w:rsid w:val="007B3721"/>
    <w:rsid w:val="007B38D6"/>
    <w:rsid w:val="007B4F29"/>
    <w:rsid w:val="007B5E0E"/>
    <w:rsid w:val="007C3C18"/>
    <w:rsid w:val="007C4D77"/>
    <w:rsid w:val="007D2E4D"/>
    <w:rsid w:val="007D4617"/>
    <w:rsid w:val="007D691F"/>
    <w:rsid w:val="007E2D30"/>
    <w:rsid w:val="007E3C09"/>
    <w:rsid w:val="007E538A"/>
    <w:rsid w:val="007E5442"/>
    <w:rsid w:val="007E621F"/>
    <w:rsid w:val="007F18BB"/>
    <w:rsid w:val="007F32C3"/>
    <w:rsid w:val="007F6268"/>
    <w:rsid w:val="00801CC8"/>
    <w:rsid w:val="00801DA5"/>
    <w:rsid w:val="00815671"/>
    <w:rsid w:val="00821431"/>
    <w:rsid w:val="00822DAD"/>
    <w:rsid w:val="00832ADC"/>
    <w:rsid w:val="00834047"/>
    <w:rsid w:val="0083433A"/>
    <w:rsid w:val="00834CC0"/>
    <w:rsid w:val="00842E47"/>
    <w:rsid w:val="00843825"/>
    <w:rsid w:val="008458EE"/>
    <w:rsid w:val="00850371"/>
    <w:rsid w:val="0085051A"/>
    <w:rsid w:val="008516B2"/>
    <w:rsid w:val="00857BE8"/>
    <w:rsid w:val="0086511F"/>
    <w:rsid w:val="00874EDA"/>
    <w:rsid w:val="00875F25"/>
    <w:rsid w:val="0088249E"/>
    <w:rsid w:val="00887620"/>
    <w:rsid w:val="00891B5F"/>
    <w:rsid w:val="0089391F"/>
    <w:rsid w:val="008975C1"/>
    <w:rsid w:val="008A47C2"/>
    <w:rsid w:val="008A539D"/>
    <w:rsid w:val="008B2B7E"/>
    <w:rsid w:val="008B4E31"/>
    <w:rsid w:val="008B5595"/>
    <w:rsid w:val="008B58F8"/>
    <w:rsid w:val="008B7169"/>
    <w:rsid w:val="008C3725"/>
    <w:rsid w:val="008C49A1"/>
    <w:rsid w:val="008C4D28"/>
    <w:rsid w:val="008C4D79"/>
    <w:rsid w:val="008C5020"/>
    <w:rsid w:val="008D0103"/>
    <w:rsid w:val="008E20E2"/>
    <w:rsid w:val="008E238C"/>
    <w:rsid w:val="008E5B74"/>
    <w:rsid w:val="008E685C"/>
    <w:rsid w:val="008F278B"/>
    <w:rsid w:val="008F29A8"/>
    <w:rsid w:val="008F3249"/>
    <w:rsid w:val="008F7108"/>
    <w:rsid w:val="0090143C"/>
    <w:rsid w:val="009014E4"/>
    <w:rsid w:val="00903EA2"/>
    <w:rsid w:val="009068DB"/>
    <w:rsid w:val="00917DE4"/>
    <w:rsid w:val="00927B66"/>
    <w:rsid w:val="00930B37"/>
    <w:rsid w:val="009324DA"/>
    <w:rsid w:val="00943E90"/>
    <w:rsid w:val="00956FC7"/>
    <w:rsid w:val="009626D7"/>
    <w:rsid w:val="00970DDF"/>
    <w:rsid w:val="009838A3"/>
    <w:rsid w:val="00986A21"/>
    <w:rsid w:val="009904C6"/>
    <w:rsid w:val="009922E6"/>
    <w:rsid w:val="00992608"/>
    <w:rsid w:val="009932E3"/>
    <w:rsid w:val="009A1268"/>
    <w:rsid w:val="009A2296"/>
    <w:rsid w:val="009A4C59"/>
    <w:rsid w:val="009A63E4"/>
    <w:rsid w:val="009B425B"/>
    <w:rsid w:val="009B4A70"/>
    <w:rsid w:val="009B584A"/>
    <w:rsid w:val="009B76DC"/>
    <w:rsid w:val="009C1B89"/>
    <w:rsid w:val="009C1B91"/>
    <w:rsid w:val="009C6049"/>
    <w:rsid w:val="009D122C"/>
    <w:rsid w:val="009F3DA9"/>
    <w:rsid w:val="009F5754"/>
    <w:rsid w:val="00A0197F"/>
    <w:rsid w:val="00A06595"/>
    <w:rsid w:val="00A15E3B"/>
    <w:rsid w:val="00A17702"/>
    <w:rsid w:val="00A30550"/>
    <w:rsid w:val="00A31C35"/>
    <w:rsid w:val="00A3343E"/>
    <w:rsid w:val="00A42042"/>
    <w:rsid w:val="00A55765"/>
    <w:rsid w:val="00A72E0E"/>
    <w:rsid w:val="00A74D50"/>
    <w:rsid w:val="00A80FF6"/>
    <w:rsid w:val="00A83A0D"/>
    <w:rsid w:val="00A92163"/>
    <w:rsid w:val="00A936B5"/>
    <w:rsid w:val="00A9405A"/>
    <w:rsid w:val="00A9712A"/>
    <w:rsid w:val="00AB25B2"/>
    <w:rsid w:val="00AB5E91"/>
    <w:rsid w:val="00AB6136"/>
    <w:rsid w:val="00AB73C7"/>
    <w:rsid w:val="00AD228B"/>
    <w:rsid w:val="00AD73CF"/>
    <w:rsid w:val="00AF1298"/>
    <w:rsid w:val="00AF33BB"/>
    <w:rsid w:val="00AF6866"/>
    <w:rsid w:val="00B01DDC"/>
    <w:rsid w:val="00B02E05"/>
    <w:rsid w:val="00B0360C"/>
    <w:rsid w:val="00B04BDF"/>
    <w:rsid w:val="00B05403"/>
    <w:rsid w:val="00B06B4C"/>
    <w:rsid w:val="00B1744B"/>
    <w:rsid w:val="00B1796E"/>
    <w:rsid w:val="00B30F23"/>
    <w:rsid w:val="00B335BE"/>
    <w:rsid w:val="00B34287"/>
    <w:rsid w:val="00B43218"/>
    <w:rsid w:val="00B459F4"/>
    <w:rsid w:val="00B47A08"/>
    <w:rsid w:val="00B47F93"/>
    <w:rsid w:val="00B64745"/>
    <w:rsid w:val="00B7596A"/>
    <w:rsid w:val="00B80543"/>
    <w:rsid w:val="00B80E94"/>
    <w:rsid w:val="00B811BC"/>
    <w:rsid w:val="00B81376"/>
    <w:rsid w:val="00B815A0"/>
    <w:rsid w:val="00B83E45"/>
    <w:rsid w:val="00B84EE1"/>
    <w:rsid w:val="00B914C7"/>
    <w:rsid w:val="00B91AB8"/>
    <w:rsid w:val="00B94A03"/>
    <w:rsid w:val="00B94FBF"/>
    <w:rsid w:val="00BA4B00"/>
    <w:rsid w:val="00BA5789"/>
    <w:rsid w:val="00BA712D"/>
    <w:rsid w:val="00BB1925"/>
    <w:rsid w:val="00BB33A7"/>
    <w:rsid w:val="00BC4014"/>
    <w:rsid w:val="00BC5958"/>
    <w:rsid w:val="00BC6731"/>
    <w:rsid w:val="00BD3E62"/>
    <w:rsid w:val="00BE44EE"/>
    <w:rsid w:val="00BE6F83"/>
    <w:rsid w:val="00BF048D"/>
    <w:rsid w:val="00BF5566"/>
    <w:rsid w:val="00BF7673"/>
    <w:rsid w:val="00C05241"/>
    <w:rsid w:val="00C0554A"/>
    <w:rsid w:val="00C06510"/>
    <w:rsid w:val="00C14C7B"/>
    <w:rsid w:val="00C1594D"/>
    <w:rsid w:val="00C3014F"/>
    <w:rsid w:val="00C33EED"/>
    <w:rsid w:val="00C34E55"/>
    <w:rsid w:val="00C355BD"/>
    <w:rsid w:val="00C41AEC"/>
    <w:rsid w:val="00C451DA"/>
    <w:rsid w:val="00C53B1D"/>
    <w:rsid w:val="00C57697"/>
    <w:rsid w:val="00C60B8D"/>
    <w:rsid w:val="00C66061"/>
    <w:rsid w:val="00C71F1E"/>
    <w:rsid w:val="00C7329A"/>
    <w:rsid w:val="00C814F5"/>
    <w:rsid w:val="00C81813"/>
    <w:rsid w:val="00C86442"/>
    <w:rsid w:val="00C938EA"/>
    <w:rsid w:val="00CA765A"/>
    <w:rsid w:val="00CA7926"/>
    <w:rsid w:val="00CB3264"/>
    <w:rsid w:val="00CB5812"/>
    <w:rsid w:val="00CC0B7A"/>
    <w:rsid w:val="00CC4061"/>
    <w:rsid w:val="00CC4283"/>
    <w:rsid w:val="00CC528A"/>
    <w:rsid w:val="00CC5B33"/>
    <w:rsid w:val="00CC5C7F"/>
    <w:rsid w:val="00CC6450"/>
    <w:rsid w:val="00CC768F"/>
    <w:rsid w:val="00CC7C10"/>
    <w:rsid w:val="00CD21F2"/>
    <w:rsid w:val="00CD2A5F"/>
    <w:rsid w:val="00CE0BD4"/>
    <w:rsid w:val="00CE5283"/>
    <w:rsid w:val="00CE725F"/>
    <w:rsid w:val="00CF090D"/>
    <w:rsid w:val="00CF5820"/>
    <w:rsid w:val="00CF5B16"/>
    <w:rsid w:val="00CF7B9D"/>
    <w:rsid w:val="00D01BCB"/>
    <w:rsid w:val="00D026DE"/>
    <w:rsid w:val="00D10C34"/>
    <w:rsid w:val="00D14A79"/>
    <w:rsid w:val="00D14B4B"/>
    <w:rsid w:val="00D159E9"/>
    <w:rsid w:val="00D1709B"/>
    <w:rsid w:val="00D32D86"/>
    <w:rsid w:val="00D33BC6"/>
    <w:rsid w:val="00D372BA"/>
    <w:rsid w:val="00D37E95"/>
    <w:rsid w:val="00D43EDE"/>
    <w:rsid w:val="00D45233"/>
    <w:rsid w:val="00D467A7"/>
    <w:rsid w:val="00D47A20"/>
    <w:rsid w:val="00D55105"/>
    <w:rsid w:val="00D5510A"/>
    <w:rsid w:val="00D56365"/>
    <w:rsid w:val="00D56D7E"/>
    <w:rsid w:val="00D57C27"/>
    <w:rsid w:val="00D6489E"/>
    <w:rsid w:val="00D73542"/>
    <w:rsid w:val="00D73AB4"/>
    <w:rsid w:val="00D7766C"/>
    <w:rsid w:val="00D90C88"/>
    <w:rsid w:val="00D90E2F"/>
    <w:rsid w:val="00D917F8"/>
    <w:rsid w:val="00D9384D"/>
    <w:rsid w:val="00D9719B"/>
    <w:rsid w:val="00DA36D0"/>
    <w:rsid w:val="00DB0115"/>
    <w:rsid w:val="00DB0AE1"/>
    <w:rsid w:val="00DB2C9C"/>
    <w:rsid w:val="00DB500A"/>
    <w:rsid w:val="00DB5E15"/>
    <w:rsid w:val="00DB7B42"/>
    <w:rsid w:val="00DC0DEA"/>
    <w:rsid w:val="00DC24B9"/>
    <w:rsid w:val="00DC2FDF"/>
    <w:rsid w:val="00DC3B91"/>
    <w:rsid w:val="00DC3F73"/>
    <w:rsid w:val="00DC4FE7"/>
    <w:rsid w:val="00DC5918"/>
    <w:rsid w:val="00DD2609"/>
    <w:rsid w:val="00DD3360"/>
    <w:rsid w:val="00DD559E"/>
    <w:rsid w:val="00DE12B4"/>
    <w:rsid w:val="00DE48AD"/>
    <w:rsid w:val="00DE5102"/>
    <w:rsid w:val="00DE5CDB"/>
    <w:rsid w:val="00DE6819"/>
    <w:rsid w:val="00DF0037"/>
    <w:rsid w:val="00DF066D"/>
    <w:rsid w:val="00DF3CB0"/>
    <w:rsid w:val="00DF46CA"/>
    <w:rsid w:val="00E02EE5"/>
    <w:rsid w:val="00E0534F"/>
    <w:rsid w:val="00E11B4E"/>
    <w:rsid w:val="00E21898"/>
    <w:rsid w:val="00E30F38"/>
    <w:rsid w:val="00E35EC1"/>
    <w:rsid w:val="00E3663C"/>
    <w:rsid w:val="00E406FB"/>
    <w:rsid w:val="00E425D0"/>
    <w:rsid w:val="00E45196"/>
    <w:rsid w:val="00E47F46"/>
    <w:rsid w:val="00E54FD2"/>
    <w:rsid w:val="00E601FD"/>
    <w:rsid w:val="00E64851"/>
    <w:rsid w:val="00E64F1C"/>
    <w:rsid w:val="00E6561E"/>
    <w:rsid w:val="00E66788"/>
    <w:rsid w:val="00E7124C"/>
    <w:rsid w:val="00E74013"/>
    <w:rsid w:val="00E805E7"/>
    <w:rsid w:val="00E81085"/>
    <w:rsid w:val="00E83094"/>
    <w:rsid w:val="00E944CB"/>
    <w:rsid w:val="00EA2093"/>
    <w:rsid w:val="00EA58AB"/>
    <w:rsid w:val="00EB3D1D"/>
    <w:rsid w:val="00EC2D33"/>
    <w:rsid w:val="00EC390E"/>
    <w:rsid w:val="00EC4B80"/>
    <w:rsid w:val="00EC76F3"/>
    <w:rsid w:val="00ED04F7"/>
    <w:rsid w:val="00ED176A"/>
    <w:rsid w:val="00ED1D2D"/>
    <w:rsid w:val="00ED27B8"/>
    <w:rsid w:val="00ED3A85"/>
    <w:rsid w:val="00ED48EA"/>
    <w:rsid w:val="00ED514A"/>
    <w:rsid w:val="00EE180D"/>
    <w:rsid w:val="00EE6E6A"/>
    <w:rsid w:val="00EF0586"/>
    <w:rsid w:val="00EF3DF0"/>
    <w:rsid w:val="00EF7271"/>
    <w:rsid w:val="00F10B67"/>
    <w:rsid w:val="00F1111D"/>
    <w:rsid w:val="00F140BB"/>
    <w:rsid w:val="00F14A48"/>
    <w:rsid w:val="00F21687"/>
    <w:rsid w:val="00F2282D"/>
    <w:rsid w:val="00F26C93"/>
    <w:rsid w:val="00F27065"/>
    <w:rsid w:val="00F311F2"/>
    <w:rsid w:val="00F33F04"/>
    <w:rsid w:val="00F34BF0"/>
    <w:rsid w:val="00F34CB8"/>
    <w:rsid w:val="00F54BB7"/>
    <w:rsid w:val="00F56C23"/>
    <w:rsid w:val="00F602BA"/>
    <w:rsid w:val="00F60DC9"/>
    <w:rsid w:val="00F6369A"/>
    <w:rsid w:val="00F65BAA"/>
    <w:rsid w:val="00F75C64"/>
    <w:rsid w:val="00F76AA7"/>
    <w:rsid w:val="00F811E0"/>
    <w:rsid w:val="00F819D6"/>
    <w:rsid w:val="00F81E6F"/>
    <w:rsid w:val="00F82735"/>
    <w:rsid w:val="00F849D7"/>
    <w:rsid w:val="00F9184E"/>
    <w:rsid w:val="00F918BD"/>
    <w:rsid w:val="00F93B4D"/>
    <w:rsid w:val="00F93DEA"/>
    <w:rsid w:val="00F941A8"/>
    <w:rsid w:val="00FA3A34"/>
    <w:rsid w:val="00FB0F0A"/>
    <w:rsid w:val="00FC2424"/>
    <w:rsid w:val="00FE35F9"/>
    <w:rsid w:val="00FE70CF"/>
    <w:rsid w:val="00FE7385"/>
    <w:rsid w:val="00FF0231"/>
    <w:rsid w:val="00FF168E"/>
    <w:rsid w:val="00FF244C"/>
    <w:rsid w:val="00FF3A51"/>
    <w:rsid w:val="00FF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50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0E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50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00EC"/>
  </w:style>
  <w:style w:type="paragraph" w:styleId="Zpat">
    <w:name w:val="footer"/>
    <w:basedOn w:val="Normln"/>
    <w:link w:val="ZpatChar1"/>
    <w:uiPriority w:val="99"/>
    <w:unhideWhenUsed/>
    <w:rsid w:val="00650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1">
    <w:name w:val="Zápatí Char1"/>
    <w:basedOn w:val="Standardnpsmoodstavce"/>
    <w:link w:val="Zpat"/>
    <w:uiPriority w:val="99"/>
    <w:rsid w:val="006500EC"/>
  </w:style>
  <w:style w:type="table" w:styleId="Mkatabulky">
    <w:name w:val="Table Grid"/>
    <w:basedOn w:val="Normlntabulka"/>
    <w:uiPriority w:val="59"/>
    <w:rsid w:val="00650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odstavec">
    <w:name w:val="[Základní odstavec]"/>
    <w:basedOn w:val="Normln"/>
    <w:uiPriority w:val="99"/>
    <w:rsid w:val="006500E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Zpat1">
    <w:name w:val="Zápatí1"/>
    <w:basedOn w:val="Zpat"/>
    <w:link w:val="ZpatChar"/>
    <w:qFormat/>
    <w:rsid w:val="001071ED"/>
    <w:pPr>
      <w:jc w:val="right"/>
    </w:pPr>
    <w:rPr>
      <w:rFonts w:asciiTheme="majorHAnsi" w:hAnsiTheme="majorHAnsi"/>
      <w:sz w:val="16"/>
      <w:szCs w:val="16"/>
    </w:rPr>
  </w:style>
  <w:style w:type="character" w:customStyle="1" w:styleId="ZpatChar">
    <w:name w:val="Zápatí Char"/>
    <w:basedOn w:val="ZpatChar1"/>
    <w:link w:val="Zpat1"/>
    <w:rsid w:val="001071ED"/>
    <w:rPr>
      <w:rFonts w:asciiTheme="majorHAnsi" w:hAnsiTheme="majorHAns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50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0E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50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00EC"/>
  </w:style>
  <w:style w:type="paragraph" w:styleId="Zpat">
    <w:name w:val="footer"/>
    <w:basedOn w:val="Normln"/>
    <w:link w:val="ZpatChar1"/>
    <w:uiPriority w:val="99"/>
    <w:unhideWhenUsed/>
    <w:rsid w:val="00650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1">
    <w:name w:val="Zápatí Char1"/>
    <w:basedOn w:val="Standardnpsmoodstavce"/>
    <w:link w:val="Zpat"/>
    <w:uiPriority w:val="99"/>
    <w:rsid w:val="006500EC"/>
  </w:style>
  <w:style w:type="table" w:styleId="Mkatabulky">
    <w:name w:val="Table Grid"/>
    <w:basedOn w:val="Normlntabulka"/>
    <w:uiPriority w:val="59"/>
    <w:rsid w:val="00650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odstavec">
    <w:name w:val="[Základní odstavec]"/>
    <w:basedOn w:val="Normln"/>
    <w:uiPriority w:val="99"/>
    <w:rsid w:val="006500E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Zpat1">
    <w:name w:val="Zápatí1"/>
    <w:basedOn w:val="Zpat"/>
    <w:link w:val="ZpatChar"/>
    <w:qFormat/>
    <w:rsid w:val="001071ED"/>
    <w:pPr>
      <w:jc w:val="right"/>
    </w:pPr>
    <w:rPr>
      <w:rFonts w:asciiTheme="majorHAnsi" w:hAnsiTheme="majorHAnsi"/>
      <w:sz w:val="16"/>
      <w:szCs w:val="16"/>
    </w:rPr>
  </w:style>
  <w:style w:type="character" w:customStyle="1" w:styleId="ZpatChar">
    <w:name w:val="Zápatí Char"/>
    <w:basedOn w:val="ZpatChar1"/>
    <w:link w:val="Zpat1"/>
    <w:rsid w:val="001071ED"/>
    <w:rPr>
      <w:rFonts w:asciiTheme="majorHAnsi" w:hAnsiTheme="majorHAns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741BD-F247-417B-A03B-4B9977C9D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495</Words>
  <Characters>2927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 ČR</Company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Miluše Rollerová</dc:creator>
  <cp:lastModifiedBy>Radek Řeháček</cp:lastModifiedBy>
  <cp:revision>2</cp:revision>
  <dcterms:created xsi:type="dcterms:W3CDTF">2015-02-25T07:49:00Z</dcterms:created>
  <dcterms:modified xsi:type="dcterms:W3CDTF">2015-02-25T07:49:00Z</dcterms:modified>
</cp:coreProperties>
</file>