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11" w:rsidRDefault="00944211"/>
    <w:p w:rsidR="00EC4BB0" w:rsidRDefault="00EC4BB0" w:rsidP="00EC4BB0">
      <w:pPr>
        <w:spacing w:line="288" w:lineRule="auto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Č.j.</w:t>
      </w:r>
      <w:proofErr w:type="gramEnd"/>
      <w:r>
        <w:rPr>
          <w:rFonts w:ascii="Arial" w:hAnsi="Arial" w:cs="Arial"/>
          <w:bCs/>
        </w:rPr>
        <w:t>: TACR/3984/2014</w:t>
      </w:r>
    </w:p>
    <w:p w:rsidR="006C7818" w:rsidRPr="006C7818" w:rsidRDefault="006C7818" w:rsidP="006C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cs-CZ"/>
        </w:rPr>
      </w:pPr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Čestné prohlášení statutárního orgánu</w:t>
      </w:r>
    </w:p>
    <w:p w:rsidR="006C7818" w:rsidRPr="00526170" w:rsidRDefault="006C7818" w:rsidP="006C78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cs-CZ"/>
        </w:rPr>
      </w:pPr>
      <w:proofErr w:type="spellStart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Sworn</w:t>
      </w:r>
      <w:proofErr w:type="spellEnd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 </w:t>
      </w:r>
      <w:proofErr w:type="spellStart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statement</w:t>
      </w:r>
      <w:proofErr w:type="spellEnd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 </w:t>
      </w:r>
      <w:proofErr w:type="spellStart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of</w:t>
      </w:r>
      <w:proofErr w:type="spellEnd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 </w:t>
      </w:r>
      <w:proofErr w:type="spellStart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the</w:t>
      </w:r>
      <w:proofErr w:type="spellEnd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 </w:t>
      </w:r>
      <w:proofErr w:type="spellStart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statutory</w:t>
      </w:r>
      <w:proofErr w:type="spellEnd"/>
      <w:r w:rsidRPr="006C7818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 xml:space="preserve"> body</w:t>
      </w:r>
    </w:p>
    <w:p w:rsidR="006C7818" w:rsidRPr="00526170" w:rsidRDefault="006C7818" w:rsidP="006C78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C7818" w:rsidRPr="00F3007B" w:rsidRDefault="006C7818" w:rsidP="006C7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6C7818" w:rsidRPr="00F3007B" w:rsidRDefault="006C7818" w:rsidP="0052617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Uchazeč/další účastník projektu  /  </w:t>
      </w:r>
      <w:proofErr w:type="spellStart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Applicant</w:t>
      </w:r>
      <w:proofErr w:type="spellEnd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/</w:t>
      </w:r>
      <w:proofErr w:type="spellStart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other</w:t>
      </w:r>
      <w:proofErr w:type="spellEnd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project</w:t>
      </w:r>
      <w:proofErr w:type="spellEnd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 xml:space="preserve"> participant</w:t>
      </w:r>
    </w:p>
    <w:p w:rsidR="00526170" w:rsidRPr="00F3007B" w:rsidRDefault="00526170" w:rsidP="005261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526170" w:rsidRPr="00F3007B" w:rsidRDefault="00526170" w:rsidP="0052617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3007B">
        <w:rPr>
          <w:rFonts w:ascii="Arial" w:eastAsia="Times New Roman" w:hAnsi="Arial" w:cs="Arial"/>
          <w:color w:val="000000"/>
          <w:lang w:eastAsia="cs-CZ"/>
        </w:rPr>
        <w:t>Název:/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Title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>:</w:t>
      </w:r>
    </w:p>
    <w:p w:rsidR="00526170" w:rsidRPr="00F3007B" w:rsidRDefault="00526170" w:rsidP="0052617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3007B">
        <w:rPr>
          <w:rFonts w:ascii="Arial" w:eastAsia="Times New Roman" w:hAnsi="Arial" w:cs="Arial"/>
          <w:color w:val="000000"/>
          <w:lang w:eastAsia="cs-CZ"/>
        </w:rPr>
        <w:t>Sídlo:/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Registered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Office:</w:t>
      </w:r>
    </w:p>
    <w:p w:rsidR="00526170" w:rsidRPr="00F3007B" w:rsidRDefault="00526170" w:rsidP="0052617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3007B">
        <w:rPr>
          <w:rFonts w:ascii="Arial" w:eastAsia="Times New Roman" w:hAnsi="Arial" w:cs="Arial"/>
          <w:color w:val="000000"/>
          <w:lang w:eastAsia="cs-CZ"/>
        </w:rPr>
        <w:t>IČ:/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Company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Reg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>. No.:</w:t>
      </w:r>
    </w:p>
    <w:p w:rsidR="00526170" w:rsidRPr="00F3007B" w:rsidRDefault="00526170" w:rsidP="0052617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3007B">
        <w:rPr>
          <w:rFonts w:ascii="Arial" w:eastAsia="Times New Roman" w:hAnsi="Arial" w:cs="Arial"/>
          <w:color w:val="000000"/>
          <w:lang w:eastAsia="cs-CZ"/>
        </w:rPr>
        <w:t>Právní forma:/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Legal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form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>:</w:t>
      </w:r>
    </w:p>
    <w:p w:rsidR="00526170" w:rsidRPr="00F3007B" w:rsidRDefault="00526170" w:rsidP="005261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3007B">
        <w:rPr>
          <w:rFonts w:ascii="Arial" w:eastAsia="Times New Roman" w:hAnsi="Arial" w:cs="Arial"/>
          <w:color w:val="000000"/>
          <w:lang w:eastAsia="cs-CZ"/>
        </w:rPr>
        <w:t>zapsán v obchodním rejstříku vedeném u/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registered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in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Commercial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Register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kept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proofErr w:type="gramStart"/>
      <w:r w:rsidRPr="00F3007B">
        <w:rPr>
          <w:rFonts w:ascii="Arial" w:eastAsia="Times New Roman" w:hAnsi="Arial" w:cs="Arial"/>
          <w:color w:val="000000"/>
          <w:lang w:eastAsia="cs-CZ"/>
        </w:rPr>
        <w:t>at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>..........................           .v oddílu/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Section</w:t>
      </w:r>
      <w:proofErr w:type="spellEnd"/>
      <w:proofErr w:type="gramEnd"/>
      <w:r w:rsidRPr="00F3007B">
        <w:rPr>
          <w:rFonts w:ascii="Arial" w:eastAsia="Times New Roman" w:hAnsi="Arial" w:cs="Arial"/>
          <w:color w:val="000000"/>
          <w:lang w:eastAsia="cs-CZ"/>
        </w:rPr>
        <w:t>..................., vložka/insert.............................</w:t>
      </w:r>
      <w:r w:rsidR="00FC2AFF" w:rsidRPr="00F3007B">
        <w:rPr>
          <w:rFonts w:ascii="Arial" w:eastAsia="Times New Roman" w:hAnsi="Arial" w:cs="Arial"/>
          <w:color w:val="000000"/>
          <w:lang w:eastAsia="cs-CZ"/>
        </w:rPr>
        <w:t>.........</w:t>
      </w:r>
      <w:r w:rsidRPr="00F3007B">
        <w:rPr>
          <w:rFonts w:ascii="Arial" w:eastAsia="Times New Roman" w:hAnsi="Arial" w:cs="Arial"/>
          <w:color w:val="000000"/>
          <w:lang w:eastAsia="cs-CZ"/>
        </w:rPr>
        <w:t>.</w:t>
      </w:r>
      <w:r w:rsidRPr="00F3007B">
        <w:rPr>
          <w:rStyle w:val="Znakapoznpodarou"/>
          <w:rFonts w:ascii="Arial" w:eastAsia="Times New Roman" w:hAnsi="Arial" w:cs="Arial"/>
          <w:color w:val="000000"/>
          <w:lang w:eastAsia="cs-CZ"/>
        </w:rPr>
        <w:footnoteReference w:id="1"/>
      </w:r>
    </w:p>
    <w:p w:rsidR="00526170" w:rsidRPr="00F3007B" w:rsidRDefault="00526170" w:rsidP="005261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526170" w:rsidRPr="00F3007B" w:rsidRDefault="00526170" w:rsidP="0052617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Čestné prohlášení /</w:t>
      </w:r>
      <w:proofErr w:type="spellStart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Sworn</w:t>
      </w:r>
      <w:proofErr w:type="spellEnd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b/>
          <w:bCs/>
          <w:color w:val="000000"/>
          <w:lang w:eastAsia="cs-CZ"/>
        </w:rPr>
        <w:t>statement</w:t>
      </w:r>
      <w:proofErr w:type="spellEnd"/>
    </w:p>
    <w:p w:rsidR="006C7818" w:rsidRPr="00F3007B" w:rsidRDefault="006C7818" w:rsidP="006C78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3007B">
        <w:rPr>
          <w:rFonts w:ascii="Arial" w:eastAsia="Times New Roman" w:hAnsi="Arial" w:cs="Arial"/>
          <w:color w:val="000000"/>
          <w:lang w:eastAsia="cs-CZ"/>
        </w:rPr>
        <w:t xml:space="preserve">Čestně prohlašuji, že:/I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hereby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declare</w:t>
      </w:r>
      <w:proofErr w:type="spellEnd"/>
      <w:r w:rsidRPr="00F3007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3007B">
        <w:rPr>
          <w:rFonts w:ascii="Arial" w:eastAsia="Times New Roman" w:hAnsi="Arial" w:cs="Arial"/>
          <w:color w:val="000000"/>
          <w:lang w:eastAsia="cs-CZ"/>
        </w:rPr>
        <w:t>that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4759"/>
      </w:tblGrid>
      <w:tr w:rsidR="00696E7B" w:rsidRPr="00F3007B" w:rsidTr="00A8517D">
        <w:trPr>
          <w:trHeight w:val="238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E7B" w:rsidRPr="00F3007B" w:rsidRDefault="00696E7B" w:rsidP="006C7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E7B" w:rsidRPr="00F3007B" w:rsidRDefault="00696E7B" w:rsidP="006C7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96E7B" w:rsidRPr="00F3007B" w:rsidTr="00A8517D">
        <w:trPr>
          <w:trHeight w:val="3588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E7B" w:rsidRPr="00F3007B" w:rsidRDefault="00696E7B" w:rsidP="00383A42">
            <w:pPr>
              <w:pStyle w:val="Odstavecseseznamem"/>
              <w:numPr>
                <w:ilvl w:val="0"/>
                <w:numId w:val="2"/>
              </w:numPr>
              <w:spacing w:after="0" w:line="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Uchazeč splňuje všechny podmínky pro typ organizace, kterou deklaruje být, tzn. buď podmínky pro jednu z kategorií podniku dle Přílohy 1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Nařízení komise</w:t>
            </w:r>
            <w:r w:rsidRPr="00F3007B">
              <w:rPr>
                <w:rStyle w:val="Znakapoznpodarou"/>
                <w:rFonts w:ascii="Arial" w:eastAsia="Times New Roman" w:hAnsi="Arial" w:cs="Arial"/>
                <w:color w:val="000000"/>
                <w:lang w:eastAsia="cs-CZ"/>
              </w:rPr>
              <w:footnoteReference w:id="2"/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, v</w:t>
            </w:r>
            <w:r w:rsidR="0069412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případě</w:t>
            </w:r>
            <w:r w:rsidR="00694124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že se do programu hlásí jako podnik; nebo splňuje podmínky uvedené v definici výzkumné organizace Rámce Společenství pro státní podporu výzkumu, vývoje a inovací, a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to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v</w:t>
            </w:r>
            <w:r w:rsidR="00222B6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případě</w:t>
            </w:r>
            <w:r w:rsidR="00222B67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že se do programu</w:t>
            </w:r>
            <w:r w:rsidR="00694124">
              <w:rPr>
                <w:rFonts w:ascii="Arial" w:eastAsia="Times New Roman" w:hAnsi="Arial" w:cs="Arial"/>
                <w:color w:val="000000"/>
                <w:lang w:eastAsia="cs-CZ"/>
              </w:rPr>
              <w:t xml:space="preserve"> hlásí jako výzkumná organizace.</w:t>
            </w:r>
            <w:bookmarkStart w:id="0" w:name="_GoBack"/>
            <w:bookmarkEnd w:id="0"/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E7B" w:rsidRPr="00F3007B" w:rsidRDefault="00696E7B" w:rsidP="00696E7B">
            <w:pPr>
              <w:pStyle w:val="Odstavecseseznamem"/>
              <w:numPr>
                <w:ilvl w:val="0"/>
                <w:numId w:val="3"/>
              </w:numPr>
              <w:spacing w:after="0" w:line="0" w:lineRule="atLeast"/>
              <w:ind w:left="462" w:hanging="425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meets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all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conditions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type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organization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which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declares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be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means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either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conditions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one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categories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business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pursuant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Annex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1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Commission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Regulation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event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announced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program as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enterpr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   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ise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conditions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specified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definition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research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organizations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Community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Framework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state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aid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research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innovation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event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announced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program as a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research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organization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696E7B" w:rsidRPr="00F3007B" w:rsidTr="00A8517D">
        <w:trPr>
          <w:trHeight w:val="615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E7B" w:rsidRPr="00F3007B" w:rsidRDefault="00696E7B" w:rsidP="00696E7B">
            <w:pPr>
              <w:pStyle w:val="Odstavecseseznamem"/>
              <w:numPr>
                <w:ilvl w:val="0"/>
                <w:numId w:val="3"/>
              </w:numPr>
              <w:spacing w:after="0" w:line="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V souladu s ustanovením § 18 odst. 2 zákona č. 130/2002 Sb. o podpoře výzkumu experimentálního vývoje a inovací z veřejných prostředků a o změně některých souvisejících zákonů (zákon o podpoře výzkumu a vývoje) ve znění pozdějších předpisů a článkem 1 odst. 6 písm. a) 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a c) Nařízení Komise: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6E7B" w:rsidRPr="00F3007B" w:rsidRDefault="00696E7B" w:rsidP="00696E7B">
            <w:pPr>
              <w:pStyle w:val="Odstavecseseznamem"/>
              <w:numPr>
                <w:ilvl w:val="0"/>
                <w:numId w:val="5"/>
              </w:numPr>
              <w:spacing w:after="0" w:line="0" w:lineRule="atLeast"/>
              <w:ind w:left="462" w:hanging="425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accordance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provisions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Article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18,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paragraph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2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Act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No. 130/2002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Coll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proofErr w:type="gram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on</w:t>
            </w:r>
            <w:proofErr w:type="gram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support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research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experimental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development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innovation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from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public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funds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 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amending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some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related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acts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(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Act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on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Support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Research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 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Development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), as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amended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Article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1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paragraph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6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letters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a) and c)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Community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Regulation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</w:tr>
      <w:tr w:rsidR="00696E7B" w:rsidRPr="00F3007B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696E7B" w:rsidP="008A5A78">
            <w:pPr>
              <w:pStyle w:val="Odstavecseseznamem"/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uchazeč má příslušné oprávnění k činnosti, je-li vyžadováno zvláštním právním předpisem,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696E7B" w:rsidP="008A5A78">
            <w:pPr>
              <w:pStyle w:val="Odstavecseseznamem"/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possesses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appropriate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licence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carry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out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activity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so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required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by a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special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legal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regulation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</w:tc>
      </w:tr>
      <w:tr w:rsidR="00696E7B" w:rsidRPr="00F3007B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696E7B" w:rsidP="00383A42">
            <w:pPr>
              <w:pStyle w:val="Odstavecseseznamem"/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uchazeč nepodal návrh na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povolení vyrovnání, nebo vůči němu nebyl podán návrh na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prohlášení konkursu na jeho majetek, anebo nebyl zamítnut návrh na prohlášení konkursu pro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nedostatek jeho majetku,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696E7B" w:rsidP="008A5A78">
            <w:pPr>
              <w:pStyle w:val="Odstavecseseznamem"/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has not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filed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proposal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settlement,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against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whom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no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bankruptcy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petition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on his/her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property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has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been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filed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such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bankruptcy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petition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was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denied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lack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property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</w:tc>
      </w:tr>
      <w:tr w:rsidR="00696E7B" w:rsidRPr="00F3007B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696E7B" w:rsidP="008A5A78">
            <w:pPr>
              <w:pStyle w:val="Odstavecseseznamem"/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uchazeč není v likvidaci a jeho úpadek nebo hrozící úpadek není řešen v insolvenčním řízení,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696E7B" w:rsidP="008A5A78">
            <w:pPr>
              <w:pStyle w:val="Odstavecseseznamem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not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liquidation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insolvency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impending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bankruptcy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not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being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dealt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insolvency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proceedings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</w:tc>
      </w:tr>
      <w:tr w:rsidR="00696E7B" w:rsidRPr="00F3007B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696E7B" w:rsidP="008A5A78">
            <w:pPr>
              <w:pStyle w:val="Odstavecseseznamem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696E7B" w:rsidP="008A5A78">
            <w:pPr>
              <w:pStyle w:val="Odstavecseseznamem"/>
              <w:numPr>
                <w:ilvl w:val="0"/>
                <w:numId w:val="1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has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settled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all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debts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relation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state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budget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budget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local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government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units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other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debts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state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state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fund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health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insurance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Czech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Social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Security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Administration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</w:tc>
      </w:tr>
      <w:tr w:rsidR="00696E7B" w:rsidRPr="00F3007B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696E7B" w:rsidP="00383A42">
            <w:pPr>
              <w:pStyle w:val="Odstavecseseznamem"/>
              <w:numPr>
                <w:ilvl w:val="0"/>
                <w:numId w:val="1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žádný z členů statutárního orgánu nebyl v posledních třech letech disciplinárně potrestán za výkon odborné činnosti související s předmětem veřejné soutěže ve výzkumu, vývoji a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inovacích,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696E7B" w:rsidP="008A5A78">
            <w:pPr>
              <w:pStyle w:val="Odstavecseseznamem"/>
              <w:numPr>
                <w:ilvl w:val="0"/>
                <w:numId w:val="16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none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Statutory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representative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/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member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statutory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body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have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not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received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within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last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three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years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any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disciplinary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punishment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on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execution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professional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activities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related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subject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respective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public tender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research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development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</w:tc>
      </w:tr>
      <w:tr w:rsidR="00696E7B" w:rsidRPr="00F3007B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F3007B" w:rsidP="00383A42">
            <w:pPr>
              <w:pStyle w:val="Odstavecseseznamem"/>
              <w:numPr>
                <w:ilvl w:val="0"/>
                <w:numId w:val="16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žádný z členů statutárního </w:t>
            </w:r>
            <w:r w:rsidR="00696E7B" w:rsidRPr="00F3007B">
              <w:rPr>
                <w:rFonts w:ascii="Arial" w:eastAsia="Times New Roman" w:hAnsi="Arial" w:cs="Arial"/>
                <w:color w:val="000000"/>
                <w:lang w:eastAsia="cs-CZ"/>
              </w:rPr>
              <w:t>orgánu není v pracovněprávním ani jiném obdobném poměru k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696E7B" w:rsidRPr="00F3007B">
              <w:rPr>
                <w:rFonts w:ascii="Arial" w:eastAsia="Times New Roman" w:hAnsi="Arial" w:cs="Arial"/>
                <w:color w:val="000000"/>
                <w:lang w:eastAsia="cs-CZ"/>
              </w:rPr>
              <w:t>poskytovateli,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696E7B" w:rsidP="008A5A78">
            <w:pPr>
              <w:pStyle w:val="Odstavecseseznamem"/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no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member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statutory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body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industrial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any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other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relation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Provider,</w:t>
            </w:r>
          </w:p>
        </w:tc>
      </w:tr>
      <w:tr w:rsidR="00696E7B" w:rsidRPr="00F3007B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696E7B" w:rsidP="00383A42">
            <w:pPr>
              <w:pStyle w:val="Odstavecseseznamem"/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na uchazeče nebyl vydán inkasní příkaz po předcházejícím rozhodnutí Komise prohlašuj</w:t>
            </w:r>
            <w:r w:rsidR="00F3007B"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ícím, že podpora je protiprávní 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neslučitelná se společným trhem,</w:t>
            </w:r>
          </w:p>
          <w:p w:rsidR="00A06CE5" w:rsidRPr="00F3007B" w:rsidRDefault="00A06CE5" w:rsidP="00A06CE5">
            <w:pPr>
              <w:pStyle w:val="Odstavecseseznamem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A06CE5" w:rsidRPr="00F3007B" w:rsidRDefault="00A06CE5" w:rsidP="00383A42">
            <w:pPr>
              <w:pStyle w:val="Odstavecseseznamem"/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F3007B">
              <w:rPr>
                <w:rFonts w:ascii="Arial" w:hAnsi="Arial" w:cs="Arial"/>
                <w:lang w:val="en-US"/>
              </w:rPr>
              <w:t>uchazeč</w:t>
            </w:r>
            <w:proofErr w:type="spellEnd"/>
            <w:proofErr w:type="gramEnd"/>
            <w:r w:rsidRPr="00F3007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3007B">
              <w:rPr>
                <w:rFonts w:ascii="Arial" w:hAnsi="Arial" w:cs="Arial"/>
                <w:lang w:val="en-US"/>
              </w:rPr>
              <w:t>není</w:t>
            </w:r>
            <w:proofErr w:type="spellEnd"/>
            <w:r w:rsidRPr="00F3007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3007B">
              <w:rPr>
                <w:rFonts w:ascii="Arial" w:hAnsi="Arial" w:cs="Arial"/>
                <w:lang w:val="en-US"/>
              </w:rPr>
              <w:t>podnikem</w:t>
            </w:r>
            <w:proofErr w:type="spellEnd"/>
            <w:r w:rsidRPr="00F3007B">
              <w:rPr>
                <w:rFonts w:ascii="Arial" w:hAnsi="Arial" w:cs="Arial"/>
                <w:lang w:val="en-US"/>
              </w:rPr>
              <w:t xml:space="preserve"> v </w:t>
            </w:r>
            <w:proofErr w:type="spellStart"/>
            <w:r w:rsidRPr="00F3007B">
              <w:rPr>
                <w:rFonts w:ascii="Arial" w:hAnsi="Arial" w:cs="Arial"/>
                <w:lang w:val="en-US"/>
              </w:rPr>
              <w:t>obtížích</w:t>
            </w:r>
            <w:proofErr w:type="spellEnd"/>
            <w:r w:rsidRPr="00F3007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7818" w:rsidRPr="00F3007B" w:rsidRDefault="00696E7B" w:rsidP="008A5A78">
            <w:pPr>
              <w:pStyle w:val="Odstavecseseznamem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not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subject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outstanding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recovery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order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following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previous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Commission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Decision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declaring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aid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illegal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incompatible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common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  <w:p w:rsidR="00A06CE5" w:rsidRPr="00F3007B" w:rsidRDefault="00A06CE5" w:rsidP="00A06CE5">
            <w:pPr>
              <w:pStyle w:val="Odstavecseseznamem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A06CE5" w:rsidRPr="00F3007B" w:rsidRDefault="00A06CE5" w:rsidP="00A06CE5">
            <w:pPr>
              <w:pStyle w:val="Odstavecseseznamem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A06CE5" w:rsidRPr="00F3007B" w:rsidRDefault="00A06CE5" w:rsidP="008A5A78">
            <w:pPr>
              <w:pStyle w:val="Odstavecseseznamem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F3007B">
              <w:rPr>
                <w:rFonts w:ascii="Arial" w:hAnsi="Arial" w:cs="Arial"/>
                <w:lang w:val="en-US"/>
              </w:rPr>
              <w:t>the</w:t>
            </w:r>
            <w:proofErr w:type="gramEnd"/>
            <w:r w:rsidRPr="00F3007B">
              <w:rPr>
                <w:rFonts w:ascii="Arial" w:hAnsi="Arial" w:cs="Arial"/>
                <w:lang w:val="en-US"/>
              </w:rPr>
              <w:t xml:space="preserve"> applicant is not a company in difficulty.</w:t>
            </w:r>
          </w:p>
        </w:tc>
      </w:tr>
      <w:tr w:rsidR="00696E7B" w:rsidRPr="00F3007B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6E7B" w:rsidRPr="00F3007B" w:rsidRDefault="00696E7B" w:rsidP="008A5A7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V rámci prokázání způsobilosti jsou předloženy výpisy z rejstříku trestů, popř. požadované údaje k vyžádání výpisů poskytovatelem, uchazeče i všech členů jeho statutárního orgánu a všech členů statutárních orgánů těch jeho členů statutárního orgánu, kteří jsou právnickou osobou, a to ke dni prokázání způsobilosti.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6E7B" w:rsidRPr="00F3007B" w:rsidRDefault="00696E7B" w:rsidP="008A5A7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Within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framework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demonstration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competence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extracts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from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criminal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records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data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required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request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extracts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from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criminal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records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by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Provider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all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members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its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statutory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body, and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those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members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its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statutory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body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that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for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date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demonstration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competence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, are a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legal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entity, are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presented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696E7B" w:rsidRPr="00F3007B" w:rsidTr="00A8517D">
        <w:trPr>
          <w:trHeight w:val="143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6E7B" w:rsidRPr="00F3007B" w:rsidRDefault="00696E7B" w:rsidP="00383A4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Uchazeč prohlašuje, že všechny údaje uvedené v návrhu projektu a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dokumenty předané poskytovateli spolu s návrhem projektu jsou v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souladu se skutečným stavem ke</w:t>
            </w:r>
            <w:r w:rsidR="00383A42" w:rsidRPr="00F3007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dni podání návrhu projektu</w:t>
            </w:r>
            <w:r w:rsidR="00694124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6E7B" w:rsidRPr="00F3007B" w:rsidRDefault="00696E7B" w:rsidP="008A5A7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applicant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declares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that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all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information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contained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project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proposal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and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documents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submitted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together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project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proposal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to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Provider are in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accord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with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actual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situation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at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date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submission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the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project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proposal</w:t>
            </w:r>
            <w:proofErr w:type="spellEnd"/>
            <w:r w:rsidRPr="00F3007B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</w:tbl>
    <w:p w:rsidR="006C7818" w:rsidRPr="00F3007B" w:rsidRDefault="006C7818" w:rsidP="006C78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sectPr w:rsidR="006C7818" w:rsidRPr="00F3007B" w:rsidSect="008A5A78">
      <w:headerReference w:type="default" r:id="rId9"/>
      <w:pgSz w:w="11906" w:h="16838"/>
      <w:pgMar w:top="21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A6" w:rsidRDefault="00270FA6" w:rsidP="00AC33FA">
      <w:pPr>
        <w:spacing w:after="0" w:line="240" w:lineRule="auto"/>
      </w:pPr>
      <w:r>
        <w:separator/>
      </w:r>
    </w:p>
  </w:endnote>
  <w:endnote w:type="continuationSeparator" w:id="0">
    <w:p w:rsidR="00270FA6" w:rsidRDefault="00270FA6" w:rsidP="00AC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A6" w:rsidRDefault="00270FA6" w:rsidP="00AC33FA">
      <w:pPr>
        <w:spacing w:after="0" w:line="240" w:lineRule="auto"/>
      </w:pPr>
      <w:r>
        <w:separator/>
      </w:r>
    </w:p>
  </w:footnote>
  <w:footnote w:type="continuationSeparator" w:id="0">
    <w:p w:rsidR="00270FA6" w:rsidRDefault="00270FA6" w:rsidP="00AC33FA">
      <w:pPr>
        <w:spacing w:after="0" w:line="240" w:lineRule="auto"/>
      </w:pPr>
      <w:r>
        <w:continuationSeparator/>
      </w:r>
    </w:p>
  </w:footnote>
  <w:footnote w:id="1">
    <w:p w:rsidR="00526170" w:rsidRPr="004E1B48" w:rsidRDefault="00526170" w:rsidP="00FC2AFF">
      <w:pPr>
        <w:spacing w:after="0" w:line="240" w:lineRule="auto"/>
        <w:jc w:val="both"/>
        <w:rPr>
          <w:sz w:val="16"/>
          <w:szCs w:val="16"/>
        </w:rPr>
      </w:pPr>
      <w:r w:rsidRPr="004E1B48">
        <w:rPr>
          <w:rStyle w:val="Znakapoznpodarou"/>
          <w:sz w:val="16"/>
          <w:szCs w:val="16"/>
        </w:rPr>
        <w:footnoteRef/>
      </w:r>
      <w:r w:rsidRPr="004E1B48">
        <w:rPr>
          <w:sz w:val="16"/>
          <w:szCs w:val="16"/>
        </w:rPr>
        <w:t xml:space="preserve"> </w:t>
      </w:r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Pouze u uchazečů zapsaných v Obchodním </w:t>
      </w:r>
      <w:proofErr w:type="gram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rejstříku./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Only</w:t>
      </w:r>
      <w:proofErr w:type="spellEnd"/>
      <w:proofErr w:type="gram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for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applicants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registered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in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the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Commercial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Register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</w:footnote>
  <w:footnote w:id="2">
    <w:p w:rsidR="00696E7B" w:rsidRPr="004E1B48" w:rsidRDefault="00696E7B" w:rsidP="005261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4E1B48">
        <w:rPr>
          <w:rStyle w:val="Znakapoznpodarou"/>
          <w:sz w:val="16"/>
          <w:szCs w:val="16"/>
        </w:rPr>
        <w:footnoteRef/>
      </w:r>
      <w:r w:rsidRPr="004E1B48">
        <w:rPr>
          <w:sz w:val="16"/>
          <w:szCs w:val="16"/>
        </w:rPr>
        <w:t xml:space="preserve"> </w:t>
      </w:r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Nařízení komise 800/2008 ze dne 6. srpna 2008, kterým se v souladu s články 87 a 88 Smlouvy o ES prohlašují určité kategorie za slučitelné se společným trhem (obecné nařízení o blokových </w:t>
      </w:r>
      <w:proofErr w:type="gram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výjimkách) (dále</w:t>
      </w:r>
      <w:proofErr w:type="gram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jen „Nařízení Komise“).</w:t>
      </w:r>
    </w:p>
    <w:p w:rsidR="00696E7B" w:rsidRPr="004E1B48" w:rsidRDefault="00696E7B" w:rsidP="005261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Commission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Regulation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800/2008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6 August 2008,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declaring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certain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categories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aid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compatible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with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the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common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market in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application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Articles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87 and 88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of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the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Treaty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(General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block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exemption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proofErr w:type="gram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Regulation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 (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hereinafter</w:t>
      </w:r>
      <w:proofErr w:type="spellEnd"/>
      <w:proofErr w:type="gram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referred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to as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the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Commission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Regulation</w:t>
      </w:r>
      <w:proofErr w:type="spellEnd"/>
      <w:r w:rsidRPr="004E1B4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).</w:t>
      </w:r>
    </w:p>
    <w:p w:rsidR="00696E7B" w:rsidRPr="004E1B48" w:rsidRDefault="00696E7B">
      <w:pPr>
        <w:pStyle w:val="Textpoznpod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FA" w:rsidRDefault="002709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DD33CB" wp14:editId="4B18B223">
          <wp:simplePos x="0" y="0"/>
          <wp:positionH relativeFrom="margin">
            <wp:posOffset>-261620</wp:posOffset>
          </wp:positionH>
          <wp:positionV relativeFrom="margin">
            <wp:posOffset>-587375</wp:posOffset>
          </wp:positionV>
          <wp:extent cx="6294120" cy="701040"/>
          <wp:effectExtent l="0" t="0" r="0" b="381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G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12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672"/>
    <w:multiLevelType w:val="hybridMultilevel"/>
    <w:tmpl w:val="C90078E0"/>
    <w:lvl w:ilvl="0" w:tplc="FDEC06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7003"/>
    <w:multiLevelType w:val="hybridMultilevel"/>
    <w:tmpl w:val="669E4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6B40"/>
    <w:multiLevelType w:val="hybridMultilevel"/>
    <w:tmpl w:val="FF2AA368"/>
    <w:lvl w:ilvl="0" w:tplc="8578C8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34FA"/>
    <w:multiLevelType w:val="hybridMultilevel"/>
    <w:tmpl w:val="2EC476C2"/>
    <w:lvl w:ilvl="0" w:tplc="229E8D8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4C3A"/>
    <w:multiLevelType w:val="hybridMultilevel"/>
    <w:tmpl w:val="207C86EE"/>
    <w:lvl w:ilvl="0" w:tplc="689EF9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2308"/>
    <w:multiLevelType w:val="hybridMultilevel"/>
    <w:tmpl w:val="2DEE4ED2"/>
    <w:lvl w:ilvl="0" w:tplc="41D2AB8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94259"/>
    <w:multiLevelType w:val="hybridMultilevel"/>
    <w:tmpl w:val="C3C4E85A"/>
    <w:lvl w:ilvl="0" w:tplc="0405000F">
      <w:start w:val="1"/>
      <w:numFmt w:val="decimal"/>
      <w:lvlText w:val="%1."/>
      <w:lvlJc w:val="left"/>
      <w:pPr>
        <w:ind w:left="820" w:hanging="360"/>
      </w:p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2F162673"/>
    <w:multiLevelType w:val="hybridMultilevel"/>
    <w:tmpl w:val="9DD0D29A"/>
    <w:lvl w:ilvl="0" w:tplc="360CC83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AE7"/>
    <w:multiLevelType w:val="hybridMultilevel"/>
    <w:tmpl w:val="1382D388"/>
    <w:lvl w:ilvl="0" w:tplc="0AA24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50998"/>
    <w:multiLevelType w:val="hybridMultilevel"/>
    <w:tmpl w:val="6338E176"/>
    <w:lvl w:ilvl="0" w:tplc="26341A4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947BD"/>
    <w:multiLevelType w:val="hybridMultilevel"/>
    <w:tmpl w:val="ADCE4736"/>
    <w:lvl w:ilvl="0" w:tplc="6624E7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D6BE6"/>
    <w:multiLevelType w:val="hybridMultilevel"/>
    <w:tmpl w:val="B6184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6151C"/>
    <w:multiLevelType w:val="hybridMultilevel"/>
    <w:tmpl w:val="EDEAC2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41918A6"/>
    <w:multiLevelType w:val="hybridMultilevel"/>
    <w:tmpl w:val="774400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2829BD"/>
    <w:multiLevelType w:val="hybridMultilevel"/>
    <w:tmpl w:val="3904A2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22CB2"/>
    <w:multiLevelType w:val="hybridMultilevel"/>
    <w:tmpl w:val="7FAA41C0"/>
    <w:lvl w:ilvl="0" w:tplc="C42C441E">
      <w:start w:val="1"/>
      <w:numFmt w:val="lowerLetter"/>
      <w:lvlText w:val="%1)"/>
      <w:lvlJc w:val="left"/>
      <w:pPr>
        <w:ind w:left="8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00" w:hanging="360"/>
      </w:pPr>
    </w:lvl>
    <w:lvl w:ilvl="2" w:tplc="0405001B" w:tentative="1">
      <w:start w:val="1"/>
      <w:numFmt w:val="lowerRoman"/>
      <w:lvlText w:val="%3."/>
      <w:lvlJc w:val="right"/>
      <w:pPr>
        <w:ind w:left="2320" w:hanging="180"/>
      </w:pPr>
    </w:lvl>
    <w:lvl w:ilvl="3" w:tplc="0405000F" w:tentative="1">
      <w:start w:val="1"/>
      <w:numFmt w:val="decimal"/>
      <w:lvlText w:val="%4."/>
      <w:lvlJc w:val="left"/>
      <w:pPr>
        <w:ind w:left="3040" w:hanging="360"/>
      </w:pPr>
    </w:lvl>
    <w:lvl w:ilvl="4" w:tplc="04050019" w:tentative="1">
      <w:start w:val="1"/>
      <w:numFmt w:val="lowerLetter"/>
      <w:lvlText w:val="%5."/>
      <w:lvlJc w:val="left"/>
      <w:pPr>
        <w:ind w:left="3760" w:hanging="360"/>
      </w:pPr>
    </w:lvl>
    <w:lvl w:ilvl="5" w:tplc="0405001B" w:tentative="1">
      <w:start w:val="1"/>
      <w:numFmt w:val="lowerRoman"/>
      <w:lvlText w:val="%6."/>
      <w:lvlJc w:val="right"/>
      <w:pPr>
        <w:ind w:left="4480" w:hanging="180"/>
      </w:pPr>
    </w:lvl>
    <w:lvl w:ilvl="6" w:tplc="0405000F" w:tentative="1">
      <w:start w:val="1"/>
      <w:numFmt w:val="decimal"/>
      <w:lvlText w:val="%7."/>
      <w:lvlJc w:val="left"/>
      <w:pPr>
        <w:ind w:left="5200" w:hanging="360"/>
      </w:pPr>
    </w:lvl>
    <w:lvl w:ilvl="7" w:tplc="04050019" w:tentative="1">
      <w:start w:val="1"/>
      <w:numFmt w:val="lowerLetter"/>
      <w:lvlText w:val="%8."/>
      <w:lvlJc w:val="left"/>
      <w:pPr>
        <w:ind w:left="5920" w:hanging="360"/>
      </w:pPr>
    </w:lvl>
    <w:lvl w:ilvl="8" w:tplc="040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>
    <w:nsid w:val="643F0D8B"/>
    <w:multiLevelType w:val="hybridMultilevel"/>
    <w:tmpl w:val="60D2D290"/>
    <w:lvl w:ilvl="0" w:tplc="DE5048F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86DB2"/>
    <w:multiLevelType w:val="hybridMultilevel"/>
    <w:tmpl w:val="487C2164"/>
    <w:lvl w:ilvl="0" w:tplc="D7F2F1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FA"/>
    <w:rsid w:val="00003285"/>
    <w:rsid w:val="00004AB9"/>
    <w:rsid w:val="00010AC2"/>
    <w:rsid w:val="000127CB"/>
    <w:rsid w:val="00013837"/>
    <w:rsid w:val="00016EAE"/>
    <w:rsid w:val="00020F5B"/>
    <w:rsid w:val="00034178"/>
    <w:rsid w:val="0004492C"/>
    <w:rsid w:val="0004502D"/>
    <w:rsid w:val="000509C8"/>
    <w:rsid w:val="00051440"/>
    <w:rsid w:val="0006571E"/>
    <w:rsid w:val="000672E1"/>
    <w:rsid w:val="00070165"/>
    <w:rsid w:val="00074A7A"/>
    <w:rsid w:val="00076FF7"/>
    <w:rsid w:val="00086BDC"/>
    <w:rsid w:val="00087A0B"/>
    <w:rsid w:val="00093586"/>
    <w:rsid w:val="00095734"/>
    <w:rsid w:val="000A1F76"/>
    <w:rsid w:val="000A4CB7"/>
    <w:rsid w:val="000C22B4"/>
    <w:rsid w:val="000C309E"/>
    <w:rsid w:val="000D0AD2"/>
    <w:rsid w:val="000D2BB9"/>
    <w:rsid w:val="000D51AB"/>
    <w:rsid w:val="000E4E1D"/>
    <w:rsid w:val="000E781D"/>
    <w:rsid w:val="000F1CFB"/>
    <w:rsid w:val="000F7074"/>
    <w:rsid w:val="00100813"/>
    <w:rsid w:val="001018AF"/>
    <w:rsid w:val="00106096"/>
    <w:rsid w:val="001068AA"/>
    <w:rsid w:val="00106C34"/>
    <w:rsid w:val="00115AA1"/>
    <w:rsid w:val="00120DFA"/>
    <w:rsid w:val="00127A69"/>
    <w:rsid w:val="00127BBC"/>
    <w:rsid w:val="00135A93"/>
    <w:rsid w:val="00156B51"/>
    <w:rsid w:val="00163374"/>
    <w:rsid w:val="0016436E"/>
    <w:rsid w:val="00166931"/>
    <w:rsid w:val="00174D45"/>
    <w:rsid w:val="00176EE4"/>
    <w:rsid w:val="00185003"/>
    <w:rsid w:val="00191D0F"/>
    <w:rsid w:val="00192E72"/>
    <w:rsid w:val="00194F81"/>
    <w:rsid w:val="00196AA1"/>
    <w:rsid w:val="001A404E"/>
    <w:rsid w:val="001A565E"/>
    <w:rsid w:val="001D448D"/>
    <w:rsid w:val="00201FD5"/>
    <w:rsid w:val="00203AB1"/>
    <w:rsid w:val="00210997"/>
    <w:rsid w:val="00212B3F"/>
    <w:rsid w:val="00213BA5"/>
    <w:rsid w:val="0021698B"/>
    <w:rsid w:val="00221570"/>
    <w:rsid w:val="00222B67"/>
    <w:rsid w:val="00231572"/>
    <w:rsid w:val="0023285B"/>
    <w:rsid w:val="00244E0E"/>
    <w:rsid w:val="00255A43"/>
    <w:rsid w:val="00270916"/>
    <w:rsid w:val="00270FA6"/>
    <w:rsid w:val="00272CD2"/>
    <w:rsid w:val="00275966"/>
    <w:rsid w:val="002809BA"/>
    <w:rsid w:val="00284F48"/>
    <w:rsid w:val="0028556B"/>
    <w:rsid w:val="00296F75"/>
    <w:rsid w:val="00297F86"/>
    <w:rsid w:val="002A74FD"/>
    <w:rsid w:val="002A7753"/>
    <w:rsid w:val="002B110B"/>
    <w:rsid w:val="002B71FC"/>
    <w:rsid w:val="002C50BB"/>
    <w:rsid w:val="002D3D92"/>
    <w:rsid w:val="002E7FD6"/>
    <w:rsid w:val="002F16BA"/>
    <w:rsid w:val="002F4132"/>
    <w:rsid w:val="003015AD"/>
    <w:rsid w:val="00304300"/>
    <w:rsid w:val="00310B54"/>
    <w:rsid w:val="00312FF4"/>
    <w:rsid w:val="00322CFA"/>
    <w:rsid w:val="00337725"/>
    <w:rsid w:val="00337C66"/>
    <w:rsid w:val="003422E7"/>
    <w:rsid w:val="003471A6"/>
    <w:rsid w:val="003522A3"/>
    <w:rsid w:val="00352606"/>
    <w:rsid w:val="00354799"/>
    <w:rsid w:val="00360F92"/>
    <w:rsid w:val="00371D80"/>
    <w:rsid w:val="00376B8E"/>
    <w:rsid w:val="00383A42"/>
    <w:rsid w:val="00386C59"/>
    <w:rsid w:val="00393843"/>
    <w:rsid w:val="003A5A38"/>
    <w:rsid w:val="003C336A"/>
    <w:rsid w:val="003C3FFF"/>
    <w:rsid w:val="003D2FF8"/>
    <w:rsid w:val="003E38C6"/>
    <w:rsid w:val="003E4D39"/>
    <w:rsid w:val="003E6FD8"/>
    <w:rsid w:val="003F0178"/>
    <w:rsid w:val="00400E43"/>
    <w:rsid w:val="00402C47"/>
    <w:rsid w:val="00411784"/>
    <w:rsid w:val="00412727"/>
    <w:rsid w:val="0041404A"/>
    <w:rsid w:val="0042320C"/>
    <w:rsid w:val="00432D64"/>
    <w:rsid w:val="00434967"/>
    <w:rsid w:val="0043677E"/>
    <w:rsid w:val="00442D66"/>
    <w:rsid w:val="004438B4"/>
    <w:rsid w:val="004454D5"/>
    <w:rsid w:val="00445629"/>
    <w:rsid w:val="00453654"/>
    <w:rsid w:val="004551CB"/>
    <w:rsid w:val="0046016C"/>
    <w:rsid w:val="00460731"/>
    <w:rsid w:val="00460ED0"/>
    <w:rsid w:val="00461C65"/>
    <w:rsid w:val="00464FBC"/>
    <w:rsid w:val="00467D64"/>
    <w:rsid w:val="00471186"/>
    <w:rsid w:val="00482AB9"/>
    <w:rsid w:val="00497800"/>
    <w:rsid w:val="00497C02"/>
    <w:rsid w:val="00497C1C"/>
    <w:rsid w:val="004A1416"/>
    <w:rsid w:val="004A15EE"/>
    <w:rsid w:val="004A6902"/>
    <w:rsid w:val="004B0375"/>
    <w:rsid w:val="004B0423"/>
    <w:rsid w:val="004B1BEE"/>
    <w:rsid w:val="004B5E42"/>
    <w:rsid w:val="004C12B5"/>
    <w:rsid w:val="004C50D2"/>
    <w:rsid w:val="004C70C0"/>
    <w:rsid w:val="004D6742"/>
    <w:rsid w:val="004D7DC2"/>
    <w:rsid w:val="004E0C3E"/>
    <w:rsid w:val="004E1B48"/>
    <w:rsid w:val="004F1398"/>
    <w:rsid w:val="005020A5"/>
    <w:rsid w:val="00503ACB"/>
    <w:rsid w:val="0051095D"/>
    <w:rsid w:val="0051333B"/>
    <w:rsid w:val="00522F82"/>
    <w:rsid w:val="00526170"/>
    <w:rsid w:val="00526FDB"/>
    <w:rsid w:val="0053693D"/>
    <w:rsid w:val="00536E3D"/>
    <w:rsid w:val="00541CEF"/>
    <w:rsid w:val="00545293"/>
    <w:rsid w:val="005462A5"/>
    <w:rsid w:val="005463B6"/>
    <w:rsid w:val="00557DF5"/>
    <w:rsid w:val="00564226"/>
    <w:rsid w:val="00573334"/>
    <w:rsid w:val="00574342"/>
    <w:rsid w:val="00583837"/>
    <w:rsid w:val="005863A4"/>
    <w:rsid w:val="005954FC"/>
    <w:rsid w:val="005A0429"/>
    <w:rsid w:val="005B1B9A"/>
    <w:rsid w:val="005B76D9"/>
    <w:rsid w:val="005C0940"/>
    <w:rsid w:val="005C15B5"/>
    <w:rsid w:val="005D67AC"/>
    <w:rsid w:val="005E1A02"/>
    <w:rsid w:val="005E5DF1"/>
    <w:rsid w:val="005E7DC4"/>
    <w:rsid w:val="005F0449"/>
    <w:rsid w:val="006004C5"/>
    <w:rsid w:val="00602781"/>
    <w:rsid w:val="00604439"/>
    <w:rsid w:val="00604C06"/>
    <w:rsid w:val="0061619B"/>
    <w:rsid w:val="006162C4"/>
    <w:rsid w:val="006206CF"/>
    <w:rsid w:val="00627807"/>
    <w:rsid w:val="0063170A"/>
    <w:rsid w:val="0063257C"/>
    <w:rsid w:val="00633013"/>
    <w:rsid w:val="00634260"/>
    <w:rsid w:val="00642245"/>
    <w:rsid w:val="00651AE7"/>
    <w:rsid w:val="00661732"/>
    <w:rsid w:val="00662748"/>
    <w:rsid w:val="00674709"/>
    <w:rsid w:val="00681465"/>
    <w:rsid w:val="00686463"/>
    <w:rsid w:val="00691379"/>
    <w:rsid w:val="006920A8"/>
    <w:rsid w:val="00694124"/>
    <w:rsid w:val="00696E7B"/>
    <w:rsid w:val="006A056F"/>
    <w:rsid w:val="006A23C6"/>
    <w:rsid w:val="006A5E2C"/>
    <w:rsid w:val="006B2DEA"/>
    <w:rsid w:val="006B569C"/>
    <w:rsid w:val="006B6791"/>
    <w:rsid w:val="006C0056"/>
    <w:rsid w:val="006C2F28"/>
    <w:rsid w:val="006C7655"/>
    <w:rsid w:val="006C7818"/>
    <w:rsid w:val="006D66DE"/>
    <w:rsid w:val="006E0F25"/>
    <w:rsid w:val="006F0175"/>
    <w:rsid w:val="006F05F0"/>
    <w:rsid w:val="007002E2"/>
    <w:rsid w:val="00701E00"/>
    <w:rsid w:val="00727CD2"/>
    <w:rsid w:val="00736875"/>
    <w:rsid w:val="00741564"/>
    <w:rsid w:val="00741D2C"/>
    <w:rsid w:val="007442E0"/>
    <w:rsid w:val="00750ADF"/>
    <w:rsid w:val="00753531"/>
    <w:rsid w:val="007538C5"/>
    <w:rsid w:val="00755AC5"/>
    <w:rsid w:val="00765961"/>
    <w:rsid w:val="007704AA"/>
    <w:rsid w:val="007766C6"/>
    <w:rsid w:val="00776954"/>
    <w:rsid w:val="007806E0"/>
    <w:rsid w:val="00784261"/>
    <w:rsid w:val="007875DB"/>
    <w:rsid w:val="00787AF7"/>
    <w:rsid w:val="00791CF7"/>
    <w:rsid w:val="00792A00"/>
    <w:rsid w:val="00796439"/>
    <w:rsid w:val="007A05C0"/>
    <w:rsid w:val="007A23AF"/>
    <w:rsid w:val="007A7267"/>
    <w:rsid w:val="007A7F89"/>
    <w:rsid w:val="007B694B"/>
    <w:rsid w:val="007C4811"/>
    <w:rsid w:val="007C6917"/>
    <w:rsid w:val="007C708E"/>
    <w:rsid w:val="007E3EC2"/>
    <w:rsid w:val="007E6A67"/>
    <w:rsid w:val="007F0B24"/>
    <w:rsid w:val="00804DE5"/>
    <w:rsid w:val="00804EF1"/>
    <w:rsid w:val="00812861"/>
    <w:rsid w:val="00814EFB"/>
    <w:rsid w:val="00824B0A"/>
    <w:rsid w:val="00831733"/>
    <w:rsid w:val="00840261"/>
    <w:rsid w:val="00843B7E"/>
    <w:rsid w:val="00852145"/>
    <w:rsid w:val="00863E9B"/>
    <w:rsid w:val="008658DD"/>
    <w:rsid w:val="00876307"/>
    <w:rsid w:val="0088598D"/>
    <w:rsid w:val="00887868"/>
    <w:rsid w:val="008A0940"/>
    <w:rsid w:val="008A3792"/>
    <w:rsid w:val="008A5A78"/>
    <w:rsid w:val="008A5B1E"/>
    <w:rsid w:val="008B6FA6"/>
    <w:rsid w:val="008C1880"/>
    <w:rsid w:val="008D6F44"/>
    <w:rsid w:val="008E0B0D"/>
    <w:rsid w:val="008E31C7"/>
    <w:rsid w:val="008E5DE3"/>
    <w:rsid w:val="008F51EC"/>
    <w:rsid w:val="008F7DE8"/>
    <w:rsid w:val="00900C3A"/>
    <w:rsid w:val="00915412"/>
    <w:rsid w:val="009162FA"/>
    <w:rsid w:val="00917979"/>
    <w:rsid w:val="00922AFA"/>
    <w:rsid w:val="00924642"/>
    <w:rsid w:val="009376FE"/>
    <w:rsid w:val="00944211"/>
    <w:rsid w:val="00974EC8"/>
    <w:rsid w:val="009851D8"/>
    <w:rsid w:val="00986143"/>
    <w:rsid w:val="00990DC8"/>
    <w:rsid w:val="00991424"/>
    <w:rsid w:val="00993283"/>
    <w:rsid w:val="00993E39"/>
    <w:rsid w:val="009968B3"/>
    <w:rsid w:val="009969B1"/>
    <w:rsid w:val="009A110B"/>
    <w:rsid w:val="009A544A"/>
    <w:rsid w:val="009B414B"/>
    <w:rsid w:val="009C1369"/>
    <w:rsid w:val="009C2D20"/>
    <w:rsid w:val="009C7A0C"/>
    <w:rsid w:val="009D5ACC"/>
    <w:rsid w:val="009E0A2B"/>
    <w:rsid w:val="009F3BF4"/>
    <w:rsid w:val="009F5EF0"/>
    <w:rsid w:val="00A03EC4"/>
    <w:rsid w:val="00A0497B"/>
    <w:rsid w:val="00A06CE5"/>
    <w:rsid w:val="00A23C57"/>
    <w:rsid w:val="00A26DCF"/>
    <w:rsid w:val="00A35497"/>
    <w:rsid w:val="00A40AEF"/>
    <w:rsid w:val="00A53F63"/>
    <w:rsid w:val="00A63BCE"/>
    <w:rsid w:val="00A71CAE"/>
    <w:rsid w:val="00A74D1D"/>
    <w:rsid w:val="00A75E1A"/>
    <w:rsid w:val="00A84B21"/>
    <w:rsid w:val="00A8517D"/>
    <w:rsid w:val="00AA781B"/>
    <w:rsid w:val="00AB1AC8"/>
    <w:rsid w:val="00AC0899"/>
    <w:rsid w:val="00AC305D"/>
    <w:rsid w:val="00AC33FA"/>
    <w:rsid w:val="00AC511A"/>
    <w:rsid w:val="00AD6445"/>
    <w:rsid w:val="00AD6614"/>
    <w:rsid w:val="00AD6AEA"/>
    <w:rsid w:val="00AF6305"/>
    <w:rsid w:val="00B10912"/>
    <w:rsid w:val="00B15945"/>
    <w:rsid w:val="00B15B2D"/>
    <w:rsid w:val="00B21689"/>
    <w:rsid w:val="00B22D53"/>
    <w:rsid w:val="00B23D07"/>
    <w:rsid w:val="00B304B7"/>
    <w:rsid w:val="00B34149"/>
    <w:rsid w:val="00B43D7C"/>
    <w:rsid w:val="00B527C2"/>
    <w:rsid w:val="00B60B4A"/>
    <w:rsid w:val="00B61048"/>
    <w:rsid w:val="00B65EED"/>
    <w:rsid w:val="00B81882"/>
    <w:rsid w:val="00B81C99"/>
    <w:rsid w:val="00B9333E"/>
    <w:rsid w:val="00B97880"/>
    <w:rsid w:val="00BA169B"/>
    <w:rsid w:val="00BA2338"/>
    <w:rsid w:val="00BA2571"/>
    <w:rsid w:val="00BB316C"/>
    <w:rsid w:val="00BB460F"/>
    <w:rsid w:val="00BC2CEA"/>
    <w:rsid w:val="00BC456B"/>
    <w:rsid w:val="00BD6B7B"/>
    <w:rsid w:val="00BD6FA9"/>
    <w:rsid w:val="00BE130D"/>
    <w:rsid w:val="00BE38CB"/>
    <w:rsid w:val="00BE4EB4"/>
    <w:rsid w:val="00BE72F1"/>
    <w:rsid w:val="00BF56A2"/>
    <w:rsid w:val="00BF62AD"/>
    <w:rsid w:val="00BF66CF"/>
    <w:rsid w:val="00BF6FAB"/>
    <w:rsid w:val="00C024B7"/>
    <w:rsid w:val="00C04C1C"/>
    <w:rsid w:val="00C052FB"/>
    <w:rsid w:val="00C10C45"/>
    <w:rsid w:val="00C13A95"/>
    <w:rsid w:val="00C20C9E"/>
    <w:rsid w:val="00C243A8"/>
    <w:rsid w:val="00C46F77"/>
    <w:rsid w:val="00C51D3C"/>
    <w:rsid w:val="00C7093D"/>
    <w:rsid w:val="00C73A84"/>
    <w:rsid w:val="00C8138C"/>
    <w:rsid w:val="00C903D3"/>
    <w:rsid w:val="00C97BE3"/>
    <w:rsid w:val="00CA6CC3"/>
    <w:rsid w:val="00CB27F2"/>
    <w:rsid w:val="00CB298D"/>
    <w:rsid w:val="00CC34D2"/>
    <w:rsid w:val="00CD2150"/>
    <w:rsid w:val="00CD240C"/>
    <w:rsid w:val="00CD5C51"/>
    <w:rsid w:val="00CE72A2"/>
    <w:rsid w:val="00D0464B"/>
    <w:rsid w:val="00D14031"/>
    <w:rsid w:val="00D158C6"/>
    <w:rsid w:val="00D225D1"/>
    <w:rsid w:val="00D31B78"/>
    <w:rsid w:val="00D32A4B"/>
    <w:rsid w:val="00D366F2"/>
    <w:rsid w:val="00D4178F"/>
    <w:rsid w:val="00D51378"/>
    <w:rsid w:val="00D5317C"/>
    <w:rsid w:val="00D7281A"/>
    <w:rsid w:val="00D72C63"/>
    <w:rsid w:val="00D8206E"/>
    <w:rsid w:val="00D83DAD"/>
    <w:rsid w:val="00D847F9"/>
    <w:rsid w:val="00D878E9"/>
    <w:rsid w:val="00D93221"/>
    <w:rsid w:val="00D96768"/>
    <w:rsid w:val="00DA53DE"/>
    <w:rsid w:val="00DB1C11"/>
    <w:rsid w:val="00DB1E76"/>
    <w:rsid w:val="00DB21F3"/>
    <w:rsid w:val="00DB2B87"/>
    <w:rsid w:val="00DB6290"/>
    <w:rsid w:val="00DB68D3"/>
    <w:rsid w:val="00DC0571"/>
    <w:rsid w:val="00DC3343"/>
    <w:rsid w:val="00DC3C6F"/>
    <w:rsid w:val="00DC5F12"/>
    <w:rsid w:val="00DD087E"/>
    <w:rsid w:val="00DD0DDD"/>
    <w:rsid w:val="00DE0C5F"/>
    <w:rsid w:val="00DE362C"/>
    <w:rsid w:val="00DE6F4F"/>
    <w:rsid w:val="00DE76A6"/>
    <w:rsid w:val="00E028FF"/>
    <w:rsid w:val="00E122B7"/>
    <w:rsid w:val="00E1526F"/>
    <w:rsid w:val="00E23C9D"/>
    <w:rsid w:val="00E3374C"/>
    <w:rsid w:val="00E34829"/>
    <w:rsid w:val="00E42021"/>
    <w:rsid w:val="00E43CEA"/>
    <w:rsid w:val="00E5259A"/>
    <w:rsid w:val="00E634D0"/>
    <w:rsid w:val="00E67277"/>
    <w:rsid w:val="00E67813"/>
    <w:rsid w:val="00E80356"/>
    <w:rsid w:val="00E851AF"/>
    <w:rsid w:val="00E93392"/>
    <w:rsid w:val="00E94E8F"/>
    <w:rsid w:val="00EB1E93"/>
    <w:rsid w:val="00EB29C4"/>
    <w:rsid w:val="00EC33DC"/>
    <w:rsid w:val="00EC4BB0"/>
    <w:rsid w:val="00EC52C8"/>
    <w:rsid w:val="00ED27CD"/>
    <w:rsid w:val="00ED407E"/>
    <w:rsid w:val="00ED6169"/>
    <w:rsid w:val="00EE2EAE"/>
    <w:rsid w:val="00EF13D1"/>
    <w:rsid w:val="00EF3AD5"/>
    <w:rsid w:val="00F078DA"/>
    <w:rsid w:val="00F16CFF"/>
    <w:rsid w:val="00F257C1"/>
    <w:rsid w:val="00F3007B"/>
    <w:rsid w:val="00F375AB"/>
    <w:rsid w:val="00F403EF"/>
    <w:rsid w:val="00F57C14"/>
    <w:rsid w:val="00F64F25"/>
    <w:rsid w:val="00F65E16"/>
    <w:rsid w:val="00F819FA"/>
    <w:rsid w:val="00F90A8F"/>
    <w:rsid w:val="00F9366D"/>
    <w:rsid w:val="00FA3E99"/>
    <w:rsid w:val="00FB02F0"/>
    <w:rsid w:val="00FC2AFF"/>
    <w:rsid w:val="00FD4472"/>
    <w:rsid w:val="00FD7117"/>
    <w:rsid w:val="00FE0529"/>
    <w:rsid w:val="00FE5A96"/>
    <w:rsid w:val="00FF475F"/>
    <w:rsid w:val="00FF5CC3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3FA"/>
  </w:style>
  <w:style w:type="paragraph" w:styleId="Zpat">
    <w:name w:val="footer"/>
    <w:basedOn w:val="Normln"/>
    <w:link w:val="ZpatChar"/>
    <w:uiPriority w:val="99"/>
    <w:unhideWhenUsed/>
    <w:rsid w:val="00AC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3FA"/>
  </w:style>
  <w:style w:type="paragraph" w:styleId="Textbubliny">
    <w:name w:val="Balloon Text"/>
    <w:basedOn w:val="Normln"/>
    <w:link w:val="TextbublinyChar"/>
    <w:uiPriority w:val="99"/>
    <w:semiHidden/>
    <w:unhideWhenUsed/>
    <w:rsid w:val="00AC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3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C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C781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61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61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617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6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3FA"/>
  </w:style>
  <w:style w:type="paragraph" w:styleId="Zpat">
    <w:name w:val="footer"/>
    <w:basedOn w:val="Normln"/>
    <w:link w:val="ZpatChar"/>
    <w:uiPriority w:val="99"/>
    <w:unhideWhenUsed/>
    <w:rsid w:val="00AC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3FA"/>
  </w:style>
  <w:style w:type="paragraph" w:styleId="Textbubliny">
    <w:name w:val="Balloon Text"/>
    <w:basedOn w:val="Normln"/>
    <w:link w:val="TextbublinyChar"/>
    <w:uiPriority w:val="99"/>
    <w:semiHidden/>
    <w:unhideWhenUsed/>
    <w:rsid w:val="00AC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3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C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C781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61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61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617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0323-9296-4D57-850A-BEC070BE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796</Words>
  <Characters>4703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Lukáš Pavlík</cp:lastModifiedBy>
  <cp:revision>12</cp:revision>
  <cp:lastPrinted>2014-05-02T14:56:00Z</cp:lastPrinted>
  <dcterms:created xsi:type="dcterms:W3CDTF">2014-04-25T09:00:00Z</dcterms:created>
  <dcterms:modified xsi:type="dcterms:W3CDTF">2014-05-05T08:23:00Z</dcterms:modified>
</cp:coreProperties>
</file>